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B531" w14:textId="77777777" w:rsidR="000366A9" w:rsidRDefault="007B7239" w:rsidP="000366A9">
      <w:pPr>
        <w:widowControl w:val="0"/>
        <w:autoSpaceDE w:val="0"/>
        <w:autoSpaceDN w:val="0"/>
        <w:adjustRightInd w:val="0"/>
        <w:jc w:val="center"/>
        <w:rPr>
          <w:rFonts w:ascii="Tahoma" w:hAnsi="Tahoma" w:cs="Tahoma"/>
          <w:sz w:val="26"/>
          <w:szCs w:val="26"/>
          <w:lang w:val="en-US"/>
        </w:rPr>
      </w:pPr>
      <w:bookmarkStart w:id="0" w:name="_GoBack"/>
      <w:bookmarkEnd w:id="0"/>
      <w:r>
        <w:rPr>
          <w:rFonts w:ascii="Times New Roman" w:hAnsi="Times New Roman" w:cs="Times New Roman"/>
          <w:b/>
          <w:bCs/>
          <w:i/>
          <w:iCs/>
          <w:sz w:val="32"/>
          <w:szCs w:val="32"/>
          <w:lang w:val="en-US"/>
        </w:rPr>
        <w:t>The Case for a Global Migrant Rights I</w:t>
      </w:r>
      <w:r w:rsidR="000366A9">
        <w:rPr>
          <w:rFonts w:ascii="Times New Roman" w:hAnsi="Times New Roman" w:cs="Times New Roman"/>
          <w:b/>
          <w:bCs/>
          <w:i/>
          <w:iCs/>
          <w:sz w:val="32"/>
          <w:szCs w:val="32"/>
          <w:lang w:val="en-US"/>
        </w:rPr>
        <w:t>ndex</w:t>
      </w:r>
    </w:p>
    <w:p w14:paraId="0A9BC310" w14:textId="48CD30B3" w:rsidR="000366A9" w:rsidRDefault="000366A9" w:rsidP="000366A9">
      <w:pPr>
        <w:widowControl w:val="0"/>
        <w:autoSpaceDE w:val="0"/>
        <w:autoSpaceDN w:val="0"/>
        <w:adjustRightInd w:val="0"/>
        <w:jc w:val="center"/>
        <w:rPr>
          <w:rFonts w:ascii="Times New Roman" w:hAnsi="Times New Roman" w:cs="Times New Roman"/>
          <w:sz w:val="32"/>
          <w:szCs w:val="32"/>
          <w:lang w:val="en-US"/>
        </w:rPr>
      </w:pPr>
      <w:r>
        <w:rPr>
          <w:rFonts w:ascii="Times New Roman" w:hAnsi="Times New Roman" w:cs="Times New Roman"/>
          <w:sz w:val="32"/>
          <w:szCs w:val="32"/>
          <w:lang w:val="en-US"/>
        </w:rPr>
        <w:t>Martin Ruhs</w:t>
      </w:r>
      <w:r w:rsidR="00FD7289">
        <w:rPr>
          <w:rStyle w:val="EndnoteReference"/>
          <w:rFonts w:ascii="Times New Roman" w:hAnsi="Times New Roman" w:cs="Times New Roman"/>
          <w:sz w:val="32"/>
          <w:szCs w:val="32"/>
          <w:lang w:val="en-US"/>
        </w:rPr>
        <w:endnoteReference w:id="1"/>
      </w:r>
      <w:r w:rsidR="00FD7289">
        <w:rPr>
          <w:rFonts w:ascii="Times New Roman" w:hAnsi="Times New Roman" w:cs="Times New Roman"/>
          <w:sz w:val="32"/>
          <w:szCs w:val="32"/>
          <w:lang w:val="en-US"/>
        </w:rPr>
        <w:t>,</w:t>
      </w:r>
    </w:p>
    <w:p w14:paraId="14970160" w14:textId="77777777" w:rsidR="000366A9" w:rsidRDefault="000366A9" w:rsidP="000366A9">
      <w:pPr>
        <w:widowControl w:val="0"/>
        <w:autoSpaceDE w:val="0"/>
        <w:autoSpaceDN w:val="0"/>
        <w:adjustRightInd w:val="0"/>
        <w:jc w:val="center"/>
        <w:rPr>
          <w:rFonts w:ascii="Times New Roman" w:hAnsi="Times New Roman" w:cs="Times New Roman"/>
          <w:sz w:val="32"/>
          <w:szCs w:val="32"/>
          <w:lang w:val="en-US"/>
        </w:rPr>
      </w:pPr>
      <w:r>
        <w:rPr>
          <w:rFonts w:ascii="Times New Roman" w:hAnsi="Times New Roman" w:cs="Times New Roman"/>
          <w:sz w:val="32"/>
          <w:szCs w:val="32"/>
          <w:lang w:val="en-US"/>
        </w:rPr>
        <w:t>University of Oxford,</w:t>
      </w:r>
    </w:p>
    <w:p w14:paraId="001C7B13" w14:textId="77777777" w:rsidR="000366A9" w:rsidRDefault="00EE737B" w:rsidP="000366A9">
      <w:pPr>
        <w:widowControl w:val="0"/>
        <w:autoSpaceDE w:val="0"/>
        <w:autoSpaceDN w:val="0"/>
        <w:adjustRightInd w:val="0"/>
        <w:jc w:val="center"/>
        <w:rPr>
          <w:rFonts w:ascii="Tahoma" w:hAnsi="Tahoma" w:cs="Tahoma"/>
          <w:sz w:val="26"/>
          <w:szCs w:val="26"/>
          <w:lang w:val="en-US"/>
        </w:rPr>
      </w:pPr>
      <w:hyperlink r:id="rId9" w:history="1">
        <w:r w:rsidR="000366A9">
          <w:rPr>
            <w:rFonts w:ascii="Times New Roman" w:hAnsi="Times New Roman" w:cs="Times New Roman"/>
            <w:color w:val="0000FF"/>
            <w:sz w:val="32"/>
            <w:szCs w:val="32"/>
            <w:lang w:val="en-US"/>
          </w:rPr>
          <w:t>martin.ruhs@conted.ox.ac.uk</w:t>
        </w:r>
      </w:hyperlink>
    </w:p>
    <w:p w14:paraId="5FAA280C" w14:textId="77777777" w:rsidR="000366A9" w:rsidRDefault="000366A9" w:rsidP="000366A9">
      <w:pPr>
        <w:widowControl w:val="0"/>
        <w:autoSpaceDE w:val="0"/>
        <w:autoSpaceDN w:val="0"/>
        <w:adjustRightInd w:val="0"/>
        <w:rPr>
          <w:rFonts w:ascii="Tahoma" w:hAnsi="Tahoma" w:cs="Tahoma"/>
          <w:sz w:val="26"/>
          <w:szCs w:val="26"/>
          <w:lang w:val="en-US"/>
        </w:rPr>
      </w:pPr>
      <w:r>
        <w:rPr>
          <w:rFonts w:ascii="Tahoma" w:hAnsi="Tahoma" w:cs="Tahoma"/>
          <w:sz w:val="26"/>
          <w:szCs w:val="26"/>
          <w:lang w:val="en-US"/>
        </w:rPr>
        <w:t> </w:t>
      </w:r>
    </w:p>
    <w:p w14:paraId="27C6BACF" w14:textId="00DF1E03" w:rsidR="00682C13" w:rsidRDefault="0016403B" w:rsidP="00682C13">
      <w:pPr>
        <w:rPr>
          <w:lang w:val="en-US"/>
        </w:rPr>
      </w:pPr>
      <w:r w:rsidRPr="0016403B">
        <w:rPr>
          <w:rFonts w:ascii="Times New Roman" w:hAnsi="Times New Roman" w:cs="Times New Roman"/>
          <w:lang w:val="en-US"/>
        </w:rPr>
        <w:t xml:space="preserve">Thank you for inviting me to contribute to this important conference.  </w:t>
      </w:r>
      <w:r>
        <w:rPr>
          <w:rFonts w:ascii="Times New Roman" w:hAnsi="Times New Roman" w:cs="Times New Roman"/>
          <w:lang w:val="en-US"/>
        </w:rPr>
        <w:t>I want to use my remarks to make the case for the creation of a</w:t>
      </w:r>
      <w:r w:rsidR="007B7239">
        <w:rPr>
          <w:rFonts w:ascii="Times New Roman" w:hAnsi="Times New Roman" w:cs="Times New Roman"/>
          <w:lang w:val="en-US"/>
        </w:rPr>
        <w:t xml:space="preserve"> </w:t>
      </w:r>
      <w:r w:rsidR="00F71EA1">
        <w:rPr>
          <w:rFonts w:ascii="Times New Roman" w:hAnsi="Times New Roman" w:cs="Times New Roman"/>
          <w:lang w:val="en-US"/>
        </w:rPr>
        <w:t>Global Migrant Rights I</w:t>
      </w:r>
      <w:r>
        <w:rPr>
          <w:rFonts w:ascii="Times New Roman" w:hAnsi="Times New Roman" w:cs="Times New Roman"/>
          <w:lang w:val="en-US"/>
        </w:rPr>
        <w:t xml:space="preserve">ndex which would lead to a step-change </w:t>
      </w:r>
      <w:r w:rsidR="00F71EA1">
        <w:rPr>
          <w:lang w:val="en-US"/>
        </w:rPr>
        <w:t>in international monitoring and debates of migrant rights.  </w:t>
      </w:r>
      <w:r w:rsidR="00682C13">
        <w:rPr>
          <w:rFonts w:ascii="Times New Roman" w:hAnsi="Times New Roman"/>
        </w:rPr>
        <w:t xml:space="preserve"> </w:t>
      </w:r>
    </w:p>
    <w:p w14:paraId="5F163F59" w14:textId="238C27F5" w:rsidR="0016403B" w:rsidRDefault="0016403B" w:rsidP="00F71EA1">
      <w:pPr>
        <w:widowControl w:val="0"/>
        <w:autoSpaceDE w:val="0"/>
        <w:autoSpaceDN w:val="0"/>
        <w:adjustRightInd w:val="0"/>
        <w:rPr>
          <w:lang w:val="en-US"/>
        </w:rPr>
      </w:pPr>
    </w:p>
    <w:p w14:paraId="1932877B" w14:textId="15818D0A" w:rsidR="00F71EA1" w:rsidRPr="00F71EA1" w:rsidRDefault="00F71EA1" w:rsidP="00F71EA1">
      <w:pPr>
        <w:widowControl w:val="0"/>
        <w:autoSpaceDE w:val="0"/>
        <w:autoSpaceDN w:val="0"/>
        <w:adjustRightInd w:val="0"/>
        <w:rPr>
          <w:b/>
          <w:lang w:val="en-US"/>
        </w:rPr>
      </w:pPr>
      <w:r>
        <w:rPr>
          <w:b/>
          <w:lang w:val="en-US"/>
        </w:rPr>
        <w:t>Why do we need a Global Migrant Rights I</w:t>
      </w:r>
      <w:r w:rsidRPr="00F71EA1">
        <w:rPr>
          <w:b/>
          <w:lang w:val="en-US"/>
        </w:rPr>
        <w:t xml:space="preserve">ndex? </w:t>
      </w:r>
    </w:p>
    <w:p w14:paraId="42843973" w14:textId="77777777" w:rsidR="00F71EA1" w:rsidRDefault="00F71EA1" w:rsidP="00F71EA1">
      <w:pPr>
        <w:widowControl w:val="0"/>
        <w:autoSpaceDE w:val="0"/>
        <w:autoSpaceDN w:val="0"/>
        <w:adjustRightInd w:val="0"/>
        <w:rPr>
          <w:lang w:val="en-US"/>
        </w:rPr>
      </w:pPr>
    </w:p>
    <w:p w14:paraId="414F8428" w14:textId="3AD035E8" w:rsidR="00557E62" w:rsidRPr="008D66B4" w:rsidRDefault="004E5619" w:rsidP="0016403B">
      <w:pPr>
        <w:rPr>
          <w:lang w:val="en-US"/>
        </w:rPr>
      </w:pPr>
      <w:r w:rsidRPr="008D66B4">
        <w:rPr>
          <w:lang w:val="en-US"/>
        </w:rPr>
        <w:t>T</w:t>
      </w:r>
      <w:r>
        <w:rPr>
          <w:lang w:val="en-US"/>
        </w:rPr>
        <w:t xml:space="preserve">he lack of </w:t>
      </w:r>
      <w:r w:rsidRPr="008D66B4">
        <w:rPr>
          <w:lang w:val="en-US"/>
        </w:rPr>
        <w:t xml:space="preserve">readily available and international comparative indicators of the protection of migrant rights in different countries is a major obstacle to more comprehensive monitoring of migrant rights at the international level.  </w:t>
      </w:r>
      <w:r w:rsidR="00557E62" w:rsidRPr="008D66B4">
        <w:t>Without better data and evidence, which the Global Migrant Rights Index would provide, the effectiveness of international monitoring of the protection of migrant rights will necessarily remain limited.</w:t>
      </w:r>
    </w:p>
    <w:p w14:paraId="36E0136C" w14:textId="77777777" w:rsidR="00557E62" w:rsidRDefault="00557E62" w:rsidP="0016403B">
      <w:pPr>
        <w:rPr>
          <w:lang w:val="en-US"/>
        </w:rPr>
      </w:pPr>
    </w:p>
    <w:p w14:paraId="1B9FE351" w14:textId="228DD98F" w:rsidR="000366A9" w:rsidRPr="0016403B" w:rsidRDefault="000366A9" w:rsidP="0016403B">
      <w:pPr>
        <w:rPr>
          <w:lang w:val="en-US"/>
        </w:rPr>
      </w:pPr>
      <w:r>
        <w:rPr>
          <w:lang w:val="en-US"/>
        </w:rPr>
        <w:t xml:space="preserve">While </w:t>
      </w:r>
      <w:r w:rsidR="00F71EA1">
        <w:rPr>
          <w:lang w:val="en-US"/>
        </w:rPr>
        <w:t>t</w:t>
      </w:r>
      <w:r>
        <w:rPr>
          <w:lang w:val="en-US"/>
        </w:rPr>
        <w:t>here has been a rapidly growing literature and policy interest in measuring human rights (for a review see, for example, Carr Center for Human Rights, 2005), there is currently no comprehensive global index of migrant rights. In the research literature, very few studies have tried to systematically measure the scope and variation of the legal rights of different types of migrants across high-incom</w:t>
      </w:r>
      <w:r w:rsidR="0016403B">
        <w:rPr>
          <w:lang w:val="en-US"/>
        </w:rPr>
        <w:t xml:space="preserve">e countries. Notable exceptions </w:t>
      </w:r>
      <w:r>
        <w:rPr>
          <w:lang w:val="en-US"/>
        </w:rPr>
        <w:t>include Harald Waldrauch’s work (2001) which constructs a ‘legal index’ that measures the integration of migrants in six European countries and the more recent ‘Migrant Integration Policy Index’ (MIPEX) which uses a mix of legal and outcome indicators to measure policies for integrating migrants in EU Member States and three non-EU countries. Specifically, MIPEX measures the extent to which each country’s policies conform to European directives and European standards of best practice in six areas: labour market access, family reunion, long-term residence, political participation, access to nationality and anti-discrimination. The migration policy indices developed by Lowell (2005), Cerna (2008) and Klugman and Pereira (2009) also include an evaluation of a small number of migrant rights.</w:t>
      </w:r>
    </w:p>
    <w:p w14:paraId="5FE05A1D" w14:textId="77777777" w:rsidR="0016403B" w:rsidRDefault="0016403B" w:rsidP="0016403B">
      <w:pPr>
        <w:rPr>
          <w:lang w:val="en-US"/>
        </w:rPr>
      </w:pPr>
    </w:p>
    <w:p w14:paraId="3CEDF383" w14:textId="77777777" w:rsidR="000366A9" w:rsidRDefault="0016403B" w:rsidP="0016403B">
      <w:pPr>
        <w:rPr>
          <w:rFonts w:ascii="Tahoma" w:hAnsi="Tahoma" w:cs="Tahoma"/>
          <w:sz w:val="26"/>
          <w:szCs w:val="26"/>
          <w:lang w:val="en-US"/>
        </w:rPr>
      </w:pPr>
      <w:r>
        <w:rPr>
          <w:lang w:val="en-US"/>
        </w:rPr>
        <w:t>Ruhs (2011</w:t>
      </w:r>
      <w:r w:rsidR="000366A9">
        <w:rPr>
          <w:lang w:val="en-US"/>
        </w:rPr>
        <w:t>) has recently constructed an index of the rights of migrant workers in 46 high- and middle-income countries. While this is the most comprehensive database of migrant rights created to date, a key limitation of this analysis is the exclusive focus on ‘rights in law’ (rather than ‘rights in practice’) and the use of research assistants rather than country experts in constructing the indicators for rights in different countries. The dataset is also limited to two years only (2008 and 2009).</w:t>
      </w:r>
    </w:p>
    <w:p w14:paraId="0FA3AE6D" w14:textId="77777777" w:rsidR="0016403B" w:rsidRDefault="0016403B" w:rsidP="0016403B">
      <w:pPr>
        <w:rPr>
          <w:lang w:val="en-US"/>
        </w:rPr>
      </w:pPr>
    </w:p>
    <w:p w14:paraId="15674A2A" w14:textId="77777777" w:rsidR="0016403B" w:rsidRDefault="000366A9" w:rsidP="0016403B">
      <w:pPr>
        <w:rPr>
          <w:lang w:val="en-US"/>
        </w:rPr>
      </w:pPr>
      <w:r>
        <w:rPr>
          <w:lang w:val="en-US"/>
        </w:rPr>
        <w:t xml:space="preserve">There is, therefore, a strong case for investing in the development of a </w:t>
      </w:r>
      <w:r w:rsidR="0016403B">
        <w:rPr>
          <w:lang w:val="en-US"/>
        </w:rPr>
        <w:t xml:space="preserve">new and comprehensive </w:t>
      </w:r>
      <w:r>
        <w:rPr>
          <w:lang w:val="en-US"/>
        </w:rPr>
        <w:t xml:space="preserve">database of indicators of migrant rights protections in different countries over time. </w:t>
      </w:r>
    </w:p>
    <w:p w14:paraId="3694FA6F" w14:textId="77777777" w:rsidR="0016403B" w:rsidRDefault="0016403B" w:rsidP="0016403B">
      <w:pPr>
        <w:rPr>
          <w:lang w:val="en-US"/>
        </w:rPr>
      </w:pPr>
    </w:p>
    <w:p w14:paraId="0C58519D" w14:textId="7320BC7F" w:rsidR="0016403B" w:rsidRPr="0016403B" w:rsidRDefault="00F71EA1" w:rsidP="0016403B">
      <w:pPr>
        <w:rPr>
          <w:b/>
          <w:lang w:val="en-US"/>
        </w:rPr>
      </w:pPr>
      <w:r>
        <w:rPr>
          <w:b/>
          <w:lang w:val="en-US"/>
        </w:rPr>
        <w:t>How could it be done</w:t>
      </w:r>
      <w:r w:rsidR="00682C13">
        <w:rPr>
          <w:b/>
          <w:lang w:val="en-US"/>
        </w:rPr>
        <w:t>, and what would it achieve</w:t>
      </w:r>
      <w:r>
        <w:rPr>
          <w:b/>
          <w:lang w:val="en-US"/>
        </w:rPr>
        <w:t xml:space="preserve">? </w:t>
      </w:r>
    </w:p>
    <w:p w14:paraId="333FACFB" w14:textId="77777777" w:rsidR="0016403B" w:rsidRDefault="0016403B" w:rsidP="0016403B">
      <w:pPr>
        <w:rPr>
          <w:lang w:val="en-US"/>
        </w:rPr>
      </w:pPr>
    </w:p>
    <w:p w14:paraId="45A313E3" w14:textId="62789BD5" w:rsidR="00F71EA1" w:rsidRDefault="000366A9" w:rsidP="0016403B">
      <w:pPr>
        <w:rPr>
          <w:lang w:val="en-US"/>
        </w:rPr>
      </w:pPr>
      <w:r>
        <w:rPr>
          <w:lang w:val="en-US"/>
        </w:rPr>
        <w:t>The rights of migrants vary by their immigration status (e.g. workers, family, student, asylum seeker, irregular) and, among workers, by skill levels (see Ruhs, 2011). A new global migrant rights index would therefore have to distinguish between different types of rights (e.g. civil and political, economic and social, residency rights, family reunion rights) for different types of migrants</w:t>
      </w:r>
      <w:r w:rsidR="0008153B">
        <w:rPr>
          <w:lang w:val="en-US"/>
        </w:rPr>
        <w:t>.</w:t>
      </w:r>
      <w:r>
        <w:rPr>
          <w:lang w:val="en-US"/>
        </w:rPr>
        <w:t xml:space="preserve">  The </w:t>
      </w:r>
      <w:r w:rsidR="00F71EA1">
        <w:rPr>
          <w:lang w:val="en-US"/>
        </w:rPr>
        <w:t xml:space="preserve">rights </w:t>
      </w:r>
      <w:r>
        <w:rPr>
          <w:lang w:val="en-US"/>
        </w:rPr>
        <w:t xml:space="preserve">indicators could be </w:t>
      </w:r>
      <w:r w:rsidR="00F71EA1">
        <w:rPr>
          <w:lang w:val="en-US"/>
        </w:rPr>
        <w:t xml:space="preserve">benchmarked against the 1990 UN Convention on the Rights of Migrant Workers and their Families. </w:t>
      </w:r>
    </w:p>
    <w:p w14:paraId="30912296" w14:textId="77777777" w:rsidR="00F71EA1" w:rsidRDefault="00F71EA1" w:rsidP="0016403B">
      <w:pPr>
        <w:rPr>
          <w:lang w:val="en-US"/>
        </w:rPr>
      </w:pPr>
    </w:p>
    <w:p w14:paraId="0D4BFBC0" w14:textId="02D20E42" w:rsidR="0016403B" w:rsidRDefault="00F71EA1" w:rsidP="0016403B">
      <w:pPr>
        <w:rPr>
          <w:lang w:val="en-US"/>
        </w:rPr>
      </w:pPr>
      <w:r>
        <w:rPr>
          <w:lang w:val="en-US"/>
        </w:rPr>
        <w:t xml:space="preserve">The indicators could be </w:t>
      </w:r>
      <w:r w:rsidR="000366A9">
        <w:rPr>
          <w:lang w:val="en-US"/>
        </w:rPr>
        <w:t xml:space="preserve">conceptualised </w:t>
      </w:r>
      <w:r w:rsidR="004E71D1">
        <w:rPr>
          <w:lang w:val="en-US"/>
        </w:rPr>
        <w:t xml:space="preserve">and designed </w:t>
      </w:r>
      <w:r w:rsidR="000366A9">
        <w:rPr>
          <w:lang w:val="en-US"/>
        </w:rPr>
        <w:t>by a group of experts including migrant rights spec</w:t>
      </w:r>
      <w:r w:rsidR="004E71D1">
        <w:rPr>
          <w:lang w:val="en-US"/>
        </w:rPr>
        <w:t xml:space="preserve">ialists and measurement experts. The analysis could then be </w:t>
      </w:r>
      <w:r w:rsidR="000366A9">
        <w:rPr>
          <w:lang w:val="en-US"/>
        </w:rPr>
        <w:t>implemented by a group of country experts. If the information were collected every year, it would be possible to build up a l</w:t>
      </w:r>
      <w:r>
        <w:rPr>
          <w:lang w:val="en-US"/>
        </w:rPr>
        <w:t>ongitudinal database of indicators</w:t>
      </w:r>
      <w:r w:rsidR="000366A9">
        <w:rPr>
          <w:lang w:val="en-US"/>
        </w:rPr>
        <w:t xml:space="preserve"> of rights protection</w:t>
      </w:r>
      <w:r>
        <w:rPr>
          <w:lang w:val="en-US"/>
        </w:rPr>
        <w:t>s/restrictions</w:t>
      </w:r>
      <w:r w:rsidR="000366A9">
        <w:rPr>
          <w:lang w:val="en-US"/>
        </w:rPr>
        <w:t xml:space="preserve"> across countries, different groups of migrants and over time. In addition to facilitating comprehensive monitoring, this database would allow analysis of the patterns, determinants and effects of restrictions of migrant rights. A range of questions could be analysed, for example:</w:t>
      </w:r>
    </w:p>
    <w:p w14:paraId="4F79BB8A" w14:textId="77777777" w:rsidR="00FD7289" w:rsidRPr="00FD7289" w:rsidRDefault="00FD7289" w:rsidP="0016403B">
      <w:pPr>
        <w:rPr>
          <w:lang w:val="en-US"/>
        </w:rPr>
      </w:pPr>
    </w:p>
    <w:p w14:paraId="1301FF9C" w14:textId="77777777" w:rsidR="00F71EA1" w:rsidRPr="00F71EA1" w:rsidRDefault="000366A9" w:rsidP="0016403B">
      <w:pPr>
        <w:pStyle w:val="ListParagraph"/>
        <w:numPr>
          <w:ilvl w:val="0"/>
          <w:numId w:val="2"/>
        </w:numPr>
        <w:rPr>
          <w:rFonts w:ascii="Tahoma" w:hAnsi="Tahoma" w:cs="Tahoma"/>
          <w:sz w:val="26"/>
          <w:szCs w:val="26"/>
          <w:lang w:val="en-US"/>
        </w:rPr>
      </w:pPr>
      <w:r w:rsidRPr="00F71EA1">
        <w:rPr>
          <w:lang w:val="en-US"/>
        </w:rPr>
        <w:t>Patterns, variations and trends: how do rights restrictions vary across different rights, groups of migrants and countries? Which rights are most commonly restricted? How do rights restrictions evolve over time?</w:t>
      </w:r>
    </w:p>
    <w:p w14:paraId="3C541E51" w14:textId="77777777" w:rsidR="00F71EA1" w:rsidRPr="00F71EA1" w:rsidRDefault="000366A9" w:rsidP="0016403B">
      <w:pPr>
        <w:pStyle w:val="ListParagraph"/>
        <w:numPr>
          <w:ilvl w:val="0"/>
          <w:numId w:val="2"/>
        </w:numPr>
        <w:rPr>
          <w:rFonts w:ascii="Tahoma" w:hAnsi="Tahoma" w:cs="Tahoma"/>
          <w:sz w:val="26"/>
          <w:szCs w:val="26"/>
          <w:lang w:val="en-US"/>
        </w:rPr>
      </w:pPr>
      <w:r w:rsidRPr="00F71EA1">
        <w:rPr>
          <w:lang w:val="en-US"/>
        </w:rPr>
        <w:t>Determinants: What are the drivers of restrictions of the rights of migrant workers? How are rights restrictions related to labour markets, welfare states and admission policies?</w:t>
      </w:r>
    </w:p>
    <w:p w14:paraId="51815174" w14:textId="021BE42B" w:rsidR="000366A9" w:rsidRPr="00F71EA1" w:rsidRDefault="000366A9" w:rsidP="0016403B">
      <w:pPr>
        <w:pStyle w:val="ListParagraph"/>
        <w:numPr>
          <w:ilvl w:val="0"/>
          <w:numId w:val="2"/>
        </w:numPr>
        <w:rPr>
          <w:rFonts w:ascii="Tahoma" w:hAnsi="Tahoma" w:cs="Tahoma"/>
          <w:sz w:val="26"/>
          <w:szCs w:val="26"/>
          <w:lang w:val="en-US"/>
        </w:rPr>
      </w:pPr>
      <w:r w:rsidRPr="00F71EA1">
        <w:rPr>
          <w:lang w:val="en-US"/>
        </w:rPr>
        <w:t>Impacts: What are the effects of restricting the rights of migrants on the migrants themselves, migrant-receiving countries and migrant-sending countries?   </w:t>
      </w:r>
    </w:p>
    <w:p w14:paraId="691E9F63" w14:textId="77777777" w:rsidR="000366A9" w:rsidRDefault="000366A9" w:rsidP="0016403B">
      <w:pPr>
        <w:rPr>
          <w:rFonts w:ascii="Tahoma" w:hAnsi="Tahoma" w:cs="Tahoma"/>
          <w:sz w:val="26"/>
          <w:szCs w:val="26"/>
          <w:lang w:val="en-US"/>
        </w:rPr>
      </w:pPr>
    </w:p>
    <w:p w14:paraId="56D58768" w14:textId="15994B61" w:rsidR="0016403B" w:rsidRDefault="000366A9" w:rsidP="0016403B">
      <w:pPr>
        <w:rPr>
          <w:lang w:val="en-US"/>
        </w:rPr>
      </w:pPr>
      <w:r>
        <w:rPr>
          <w:lang w:val="en-US"/>
        </w:rPr>
        <w:t>The development of the index would require careful conceptualisation of the indicators, accurate measurement through a team of country experts and considered aggregation and presentation of the results in a way that makes them transparent and accessible to anybody</w:t>
      </w:r>
      <w:r w:rsidR="004E71D1">
        <w:rPr>
          <w:lang w:val="en-US"/>
        </w:rPr>
        <w:t xml:space="preserve">. For example, the different migrant rights indicators could be presented on </w:t>
      </w:r>
      <w:r>
        <w:rPr>
          <w:lang w:val="en-US"/>
        </w:rPr>
        <w:t>a dedicated website where people can interact with the data to create their own indices based on</w:t>
      </w:r>
      <w:r w:rsidR="004E71D1">
        <w:rPr>
          <w:lang w:val="en-US"/>
        </w:rPr>
        <w:t xml:space="preserve"> their own preferred indicators</w:t>
      </w:r>
      <w:r w:rsidR="0008153B">
        <w:rPr>
          <w:lang w:val="en-US"/>
        </w:rPr>
        <w:t xml:space="preserve">. See, for example, the interactive presentation of the UNDP’s Human Development Indicators: </w:t>
      </w:r>
      <w:hyperlink r:id="rId10" w:history="1">
        <w:r w:rsidR="0008153B" w:rsidRPr="006F57CE">
          <w:rPr>
            <w:rStyle w:val="Hyperlink"/>
            <w:lang w:val="en-US"/>
          </w:rPr>
          <w:t>http://hdr.undp.org/en/statistics/</w:t>
        </w:r>
      </w:hyperlink>
      <w:r w:rsidR="0008153B">
        <w:rPr>
          <w:lang w:val="en-US"/>
        </w:rPr>
        <w:t xml:space="preserve">  </w:t>
      </w:r>
      <w:r>
        <w:rPr>
          <w:lang w:val="en-US"/>
        </w:rPr>
        <w:t xml:space="preserve"> </w:t>
      </w:r>
    </w:p>
    <w:p w14:paraId="2271FA97" w14:textId="77777777" w:rsidR="0008153B" w:rsidRDefault="0008153B" w:rsidP="0016403B">
      <w:pPr>
        <w:rPr>
          <w:lang w:val="en-US"/>
        </w:rPr>
      </w:pPr>
    </w:p>
    <w:p w14:paraId="217F217B" w14:textId="392A7CA9" w:rsidR="00633DAD" w:rsidRPr="00682C13" w:rsidRDefault="00682C13" w:rsidP="0016403B">
      <w:pPr>
        <w:rPr>
          <w:b/>
          <w:lang w:val="en-US"/>
        </w:rPr>
      </w:pPr>
      <w:r w:rsidRPr="00682C13">
        <w:rPr>
          <w:b/>
          <w:lang w:val="en-US"/>
        </w:rPr>
        <w:t>Summary: The Benefits of a Global Migrant Rights Index</w:t>
      </w:r>
    </w:p>
    <w:p w14:paraId="5EBB559D" w14:textId="77777777" w:rsidR="00633DAD" w:rsidRDefault="00633DAD" w:rsidP="0016403B">
      <w:pPr>
        <w:rPr>
          <w:lang w:val="en-US"/>
        </w:rPr>
      </w:pPr>
    </w:p>
    <w:p w14:paraId="1CCD9163" w14:textId="5E1C8D22" w:rsidR="0016403B" w:rsidRPr="004A6FA4" w:rsidRDefault="00682C13" w:rsidP="0016403B">
      <w:pPr>
        <w:rPr>
          <w:rFonts w:cs="Calibri"/>
          <w:bCs/>
          <w:color w:val="000000"/>
          <w:lang w:val="en-US"/>
        </w:rPr>
      </w:pPr>
      <w:r>
        <w:rPr>
          <w:rFonts w:cs="Calibri"/>
          <w:bCs/>
          <w:color w:val="000000"/>
          <w:lang w:val="en-US"/>
        </w:rPr>
        <w:t xml:space="preserve">A Global Migrant Rights Index would </w:t>
      </w:r>
      <w:r w:rsidR="0016403B">
        <w:rPr>
          <w:rFonts w:cs="Calibri"/>
          <w:bCs/>
          <w:color w:val="000000"/>
          <w:lang w:val="en-US"/>
        </w:rPr>
        <w:t xml:space="preserve">provide new and highly transparent data, indicators and analysis to provide a better picture </w:t>
      </w:r>
      <w:r>
        <w:rPr>
          <w:rFonts w:cs="Calibri"/>
          <w:bCs/>
          <w:color w:val="000000"/>
          <w:lang w:val="en-US"/>
        </w:rPr>
        <w:t>and monitoring of the rights of migrants around the world. It would</w:t>
      </w:r>
      <w:r w:rsidR="0016403B">
        <w:rPr>
          <w:rFonts w:cs="Calibri"/>
          <w:bCs/>
          <w:color w:val="000000"/>
          <w:lang w:val="en-US"/>
        </w:rPr>
        <w:t xml:space="preserve"> </w:t>
      </w:r>
      <w:r w:rsidR="0016403B" w:rsidRPr="004A6FA4">
        <w:rPr>
          <w:rFonts w:cs="Calibri"/>
          <w:bCs/>
          <w:color w:val="000000"/>
          <w:lang w:val="en-US"/>
        </w:rPr>
        <w:t xml:space="preserve">enable policy-makers to critically assess their </w:t>
      </w:r>
      <w:r w:rsidR="0016403B">
        <w:rPr>
          <w:rFonts w:cs="Calibri"/>
          <w:bCs/>
          <w:color w:val="000000"/>
          <w:lang w:val="en-US"/>
        </w:rPr>
        <w:t xml:space="preserve">policies towards migrants </w:t>
      </w:r>
      <w:r w:rsidR="0016403B" w:rsidRPr="004A6FA4">
        <w:rPr>
          <w:rFonts w:cs="Calibri"/>
          <w:bCs/>
          <w:color w:val="000000"/>
          <w:lang w:val="en-US"/>
        </w:rPr>
        <w:t>in light of international experiences and assess the effectiveness of differen</w:t>
      </w:r>
      <w:r>
        <w:rPr>
          <w:rFonts w:cs="Calibri"/>
          <w:bCs/>
          <w:color w:val="000000"/>
          <w:lang w:val="en-US"/>
        </w:rPr>
        <w:t>t policy interventions.  A Global Migrant Rights Index would</w:t>
      </w:r>
      <w:r w:rsidR="0016403B" w:rsidRPr="004A6FA4">
        <w:rPr>
          <w:rFonts w:cs="Calibri"/>
          <w:bCs/>
          <w:color w:val="000000"/>
          <w:lang w:val="en-US"/>
        </w:rPr>
        <w:t xml:space="preserve"> empower stakeholders and advocacy groups to more effectively campaign on migration and migrant rights issues based on a rigorous and widely respected evidence base. </w:t>
      </w:r>
      <w:r>
        <w:rPr>
          <w:rFonts w:cs="Calibri"/>
          <w:bCs/>
          <w:color w:val="000000"/>
          <w:lang w:val="en-US"/>
        </w:rPr>
        <w:t>The new indicators would</w:t>
      </w:r>
      <w:r w:rsidR="0016403B">
        <w:rPr>
          <w:rFonts w:cs="Calibri"/>
          <w:bCs/>
          <w:color w:val="000000"/>
          <w:lang w:val="en-US"/>
        </w:rPr>
        <w:t xml:space="preserve"> also </w:t>
      </w:r>
      <w:r w:rsidR="0016403B" w:rsidRPr="004A6FA4">
        <w:rPr>
          <w:rFonts w:cs="Calibri"/>
          <w:bCs/>
          <w:color w:val="000000"/>
          <w:lang w:val="en-US"/>
        </w:rPr>
        <w:t xml:space="preserve">enable social science researchers from a range of different disciplines to explore questions and conduct innovative analysis about the </w:t>
      </w:r>
      <w:r w:rsidR="0016403B">
        <w:rPr>
          <w:rFonts w:cs="Calibri"/>
          <w:bCs/>
          <w:color w:val="000000"/>
          <w:lang w:val="en-US"/>
        </w:rPr>
        <w:t xml:space="preserve">variation, </w:t>
      </w:r>
      <w:r w:rsidR="0016403B" w:rsidRPr="004A6FA4">
        <w:rPr>
          <w:rFonts w:cs="Calibri"/>
          <w:bCs/>
          <w:color w:val="000000"/>
          <w:lang w:val="en-US"/>
        </w:rPr>
        <w:t xml:space="preserve">determinants and effects of </w:t>
      </w:r>
      <w:r w:rsidR="0016403B">
        <w:rPr>
          <w:rFonts w:cs="Calibri"/>
          <w:bCs/>
          <w:color w:val="000000"/>
          <w:lang w:val="en-US"/>
        </w:rPr>
        <w:t xml:space="preserve">migrant rights over time. </w:t>
      </w:r>
    </w:p>
    <w:p w14:paraId="0A8EFA5D" w14:textId="77777777" w:rsidR="00682C13" w:rsidRDefault="00682C13" w:rsidP="0016403B">
      <w:pPr>
        <w:rPr>
          <w:lang w:val="en-US"/>
        </w:rPr>
      </w:pPr>
    </w:p>
    <w:p w14:paraId="0C1C7481" w14:textId="2F069BE5" w:rsidR="00FD7289" w:rsidRPr="00FD7289" w:rsidRDefault="00FD7289" w:rsidP="0016403B">
      <w:pPr>
        <w:rPr>
          <w:b/>
          <w:lang w:val="en-US"/>
        </w:rPr>
      </w:pPr>
      <w:r w:rsidRPr="00FD7289">
        <w:rPr>
          <w:b/>
          <w:lang w:val="en-US"/>
        </w:rPr>
        <w:lastRenderedPageBreak/>
        <w:t>References:</w:t>
      </w:r>
    </w:p>
    <w:p w14:paraId="44D80A0E" w14:textId="77777777" w:rsidR="00FD7289" w:rsidRDefault="00FD7289" w:rsidP="0016403B">
      <w:pPr>
        <w:rPr>
          <w:lang w:val="en-US"/>
        </w:rPr>
      </w:pPr>
    </w:p>
    <w:p w14:paraId="51950D74" w14:textId="77777777" w:rsidR="00107C6B" w:rsidRPr="00107C6B" w:rsidRDefault="00107C6B" w:rsidP="00107C6B">
      <w:pPr>
        <w:widowControl w:val="0"/>
        <w:autoSpaceDE w:val="0"/>
        <w:autoSpaceDN w:val="0"/>
        <w:adjustRightInd w:val="0"/>
        <w:spacing w:after="240"/>
        <w:rPr>
          <w:rFonts w:cs="Times"/>
          <w:lang w:val="en-US"/>
        </w:rPr>
      </w:pPr>
      <w:r w:rsidRPr="00107C6B">
        <w:rPr>
          <w:rFonts w:cs="Gill Sans MT"/>
          <w:lang w:val="en-US"/>
        </w:rPr>
        <w:t xml:space="preserve">British Council and Migration Policy Group (2011) </w:t>
      </w:r>
      <w:r w:rsidRPr="00107C6B">
        <w:rPr>
          <w:rFonts w:cs="Times"/>
          <w:lang w:val="en-US"/>
        </w:rPr>
        <w:t>Migrant Integration Policy Index III</w:t>
      </w:r>
      <w:r w:rsidRPr="00107C6B">
        <w:rPr>
          <w:rFonts w:cs="Gill Sans MT"/>
          <w:lang w:val="en-US"/>
        </w:rPr>
        <w:t xml:space="preserve">, Brussels, </w:t>
      </w:r>
      <w:r w:rsidRPr="00107C6B">
        <w:rPr>
          <w:rFonts w:cs="Gill Sans MT"/>
          <w:color w:val="18356A"/>
          <w:lang w:val="en-US"/>
        </w:rPr>
        <w:t>www.integrationindex.eu</w:t>
      </w:r>
    </w:p>
    <w:p w14:paraId="408410D8" w14:textId="77777777" w:rsidR="00107C6B" w:rsidRPr="00107C6B" w:rsidRDefault="00107C6B" w:rsidP="00107C6B">
      <w:pPr>
        <w:widowControl w:val="0"/>
        <w:autoSpaceDE w:val="0"/>
        <w:autoSpaceDN w:val="0"/>
        <w:adjustRightInd w:val="0"/>
        <w:spacing w:after="240"/>
        <w:rPr>
          <w:rFonts w:cs="Times"/>
          <w:lang w:val="en-US"/>
        </w:rPr>
      </w:pPr>
      <w:r w:rsidRPr="00107C6B">
        <w:rPr>
          <w:rFonts w:cs="Gill Sans MT"/>
          <w:lang w:val="en-US"/>
        </w:rPr>
        <w:t xml:space="preserve">Carr Center for Human Rights (2005) </w:t>
      </w:r>
      <w:r w:rsidRPr="00107C6B">
        <w:rPr>
          <w:rFonts w:cs="Times"/>
          <w:lang w:val="en-US"/>
        </w:rPr>
        <w:t>Measurement &amp; Human Rights: Tracking Progress, Assessing Impact</w:t>
      </w:r>
      <w:r w:rsidRPr="00107C6B">
        <w:rPr>
          <w:rFonts w:cs="Gill Sans MT"/>
          <w:lang w:val="en-US"/>
        </w:rPr>
        <w:t>, A Carr Center for Human Rights Policy Project Report, Harvard University</w:t>
      </w:r>
    </w:p>
    <w:p w14:paraId="46D281D4" w14:textId="77777777" w:rsidR="00107C6B" w:rsidRPr="00107C6B" w:rsidRDefault="00107C6B" w:rsidP="00107C6B">
      <w:pPr>
        <w:widowControl w:val="0"/>
        <w:autoSpaceDE w:val="0"/>
        <w:autoSpaceDN w:val="0"/>
        <w:adjustRightInd w:val="0"/>
        <w:spacing w:after="240"/>
        <w:rPr>
          <w:rFonts w:cs="Times"/>
          <w:lang w:val="en-US"/>
        </w:rPr>
      </w:pPr>
      <w:r w:rsidRPr="00107C6B">
        <w:rPr>
          <w:rFonts w:cs="Gill Sans MT"/>
          <w:lang w:val="en-US"/>
        </w:rPr>
        <w:t>Cerna, L. (2008) “Towards an EU Blue Card: The proposed delegation of national immigration policies to the EU level”, COMPAS Working Paper 08-65</w:t>
      </w:r>
    </w:p>
    <w:p w14:paraId="72B87711" w14:textId="77777777" w:rsidR="00107C6B" w:rsidRPr="00107C6B" w:rsidRDefault="00107C6B" w:rsidP="00107C6B">
      <w:pPr>
        <w:widowControl w:val="0"/>
        <w:autoSpaceDE w:val="0"/>
        <w:autoSpaceDN w:val="0"/>
        <w:adjustRightInd w:val="0"/>
        <w:spacing w:after="240"/>
        <w:rPr>
          <w:rFonts w:cs="Times"/>
          <w:lang w:val="en-US"/>
        </w:rPr>
      </w:pPr>
      <w:r w:rsidRPr="00107C6B">
        <w:rPr>
          <w:rFonts w:cs="Gill Sans MT"/>
          <w:lang w:val="en-US"/>
        </w:rPr>
        <w:t>Klugman, J. and I. Pereira (2009) ‘Assessment of national migration policies: An emerging picture on admissions, treatment and enforcement in developing and developed countries’, Human Development Research Paper 2009/48, UNDP</w:t>
      </w:r>
    </w:p>
    <w:p w14:paraId="492E5216" w14:textId="77777777" w:rsidR="00107C6B" w:rsidRPr="00107C6B" w:rsidRDefault="00107C6B" w:rsidP="00107C6B">
      <w:pPr>
        <w:widowControl w:val="0"/>
        <w:autoSpaceDE w:val="0"/>
        <w:autoSpaceDN w:val="0"/>
        <w:adjustRightInd w:val="0"/>
        <w:spacing w:after="240"/>
        <w:rPr>
          <w:rFonts w:cs="Times"/>
          <w:lang w:val="en-US"/>
        </w:rPr>
      </w:pPr>
      <w:r w:rsidRPr="00107C6B">
        <w:rPr>
          <w:rFonts w:cs="Gill Sans MT"/>
          <w:color w:val="1A1717"/>
          <w:lang w:val="en-US"/>
        </w:rPr>
        <w:t>Lowell, L. (2005) ‘Policies and regulations for managing skilled international migration for work’, United Nations, Mortality and Migration Section of the Population Division/DESA, New York.</w:t>
      </w:r>
    </w:p>
    <w:p w14:paraId="270BCA77" w14:textId="7DC7C554" w:rsidR="00107C6B" w:rsidRPr="00107C6B" w:rsidRDefault="00107C6B" w:rsidP="00107C6B">
      <w:pPr>
        <w:pStyle w:val="NoSpacing"/>
        <w:rPr>
          <w:rFonts w:asciiTheme="minorHAnsi" w:hAnsiTheme="minorHAnsi" w:cs="Verdana"/>
          <w:szCs w:val="24"/>
        </w:rPr>
      </w:pPr>
      <w:r w:rsidRPr="00107C6B">
        <w:rPr>
          <w:rFonts w:asciiTheme="minorHAnsi" w:hAnsiTheme="minorHAnsi" w:cs="Verdana"/>
          <w:szCs w:val="24"/>
        </w:rPr>
        <w:t>Ruhs, M. (Aug 2103) The Price of Rights. Regulating international labor migration. Princeton University Press</w:t>
      </w:r>
    </w:p>
    <w:p w14:paraId="0A630A54" w14:textId="77777777" w:rsidR="00107C6B" w:rsidRPr="00107C6B" w:rsidRDefault="00107C6B" w:rsidP="00107C6B">
      <w:pPr>
        <w:pStyle w:val="NoSpacing"/>
        <w:rPr>
          <w:rFonts w:asciiTheme="minorHAnsi" w:hAnsiTheme="minorHAnsi" w:cs="Verdana"/>
          <w:color w:val="434444"/>
          <w:szCs w:val="24"/>
        </w:rPr>
      </w:pPr>
    </w:p>
    <w:p w14:paraId="2CD419B8" w14:textId="305D48F8" w:rsidR="00107C6B" w:rsidRPr="00107C6B" w:rsidRDefault="00107C6B" w:rsidP="00107C6B">
      <w:pPr>
        <w:pStyle w:val="NoSpacing"/>
        <w:rPr>
          <w:rFonts w:asciiTheme="minorHAnsi" w:hAnsiTheme="minorHAnsi" w:cs="Verdana"/>
          <w:color w:val="434444"/>
          <w:szCs w:val="24"/>
        </w:rPr>
      </w:pPr>
      <w:r w:rsidRPr="00107C6B">
        <w:rPr>
          <w:rFonts w:asciiTheme="minorHAnsi" w:hAnsiTheme="minorHAnsi" w:cs="Verdana"/>
          <w:color w:val="434444"/>
          <w:szCs w:val="24"/>
        </w:rPr>
        <w:t>Ruhs, M. (2011</w:t>
      </w:r>
      <w:r w:rsidRPr="00107C6B">
        <w:rPr>
          <w:rFonts w:asciiTheme="minorHAnsi" w:hAnsiTheme="minorHAnsi" w:cs="Verdana"/>
          <w:szCs w:val="24"/>
        </w:rPr>
        <w:t>) '</w:t>
      </w:r>
      <w:hyperlink r:id="rId11" w:history="1">
        <w:r w:rsidRPr="00107C6B">
          <w:rPr>
            <w:rFonts w:asciiTheme="minorHAnsi" w:hAnsiTheme="minorHAnsi" w:cs="Verdana"/>
            <w:bCs/>
            <w:szCs w:val="24"/>
          </w:rPr>
          <w:t>Openness, Skills and Rights: An Empirical Analysis of Labour Immigration Programmes in 46 High- and Middle-income Countries</w:t>
        </w:r>
      </w:hyperlink>
      <w:r w:rsidRPr="00107C6B">
        <w:rPr>
          <w:rFonts w:asciiTheme="minorHAnsi" w:hAnsiTheme="minorHAnsi" w:cs="Verdana"/>
          <w:color w:val="434444"/>
          <w:szCs w:val="24"/>
        </w:rPr>
        <w:t>', COMPAS Working Paper No. 88,</w:t>
      </w:r>
    </w:p>
    <w:p w14:paraId="72EE05B1" w14:textId="09734ADE" w:rsidR="00107C6B" w:rsidRPr="00107C6B" w:rsidRDefault="00EE737B" w:rsidP="00107C6B">
      <w:pPr>
        <w:pStyle w:val="NoSpacing"/>
        <w:rPr>
          <w:rFonts w:asciiTheme="minorHAnsi" w:hAnsiTheme="minorHAnsi"/>
          <w:szCs w:val="24"/>
          <w:lang w:val="en-GB"/>
        </w:rPr>
      </w:pPr>
      <w:hyperlink r:id="rId12" w:history="1">
        <w:r w:rsidR="00107C6B" w:rsidRPr="00107C6B">
          <w:rPr>
            <w:rStyle w:val="Hyperlink"/>
            <w:rFonts w:asciiTheme="minorHAnsi" w:hAnsiTheme="minorHAnsi"/>
            <w:szCs w:val="24"/>
            <w:lang w:val="en-GB"/>
          </w:rPr>
          <w:t>http://www.compas.ox.ac.uk/fileadmin/files/Publications/working_papers/WP_2011/WP1188%20Ruhs_Paper.pdf</w:t>
        </w:r>
      </w:hyperlink>
      <w:r w:rsidR="00107C6B" w:rsidRPr="00107C6B">
        <w:rPr>
          <w:rFonts w:asciiTheme="minorHAnsi" w:hAnsiTheme="minorHAnsi"/>
          <w:szCs w:val="24"/>
          <w:lang w:val="en-GB"/>
        </w:rPr>
        <w:t xml:space="preserve"> </w:t>
      </w:r>
    </w:p>
    <w:p w14:paraId="110FFCF2" w14:textId="77777777" w:rsidR="00107C6B" w:rsidRPr="00107C6B" w:rsidRDefault="00107C6B" w:rsidP="00107C6B">
      <w:pPr>
        <w:pStyle w:val="NoSpacing"/>
        <w:rPr>
          <w:rFonts w:asciiTheme="minorHAnsi" w:hAnsiTheme="minorHAnsi"/>
          <w:szCs w:val="24"/>
          <w:lang w:val="en-GB"/>
        </w:rPr>
      </w:pPr>
    </w:p>
    <w:p w14:paraId="49299D48" w14:textId="73EA34D4" w:rsidR="00FD7289" w:rsidRPr="00107C6B" w:rsidRDefault="00107C6B" w:rsidP="00107C6B">
      <w:pPr>
        <w:pStyle w:val="NoSpacing"/>
        <w:rPr>
          <w:rFonts w:asciiTheme="minorHAnsi" w:hAnsiTheme="minorHAnsi"/>
          <w:color w:val="000000"/>
          <w:szCs w:val="24"/>
          <w:lang w:val="en-GB"/>
        </w:rPr>
      </w:pPr>
      <w:r w:rsidRPr="00107C6B">
        <w:rPr>
          <w:rFonts w:asciiTheme="minorHAnsi" w:hAnsiTheme="minorHAnsi"/>
          <w:szCs w:val="24"/>
          <w:lang w:val="en-GB"/>
        </w:rPr>
        <w:t xml:space="preserve">Waldrauch, H., 2001. </w:t>
      </w:r>
      <w:r w:rsidRPr="00107C6B">
        <w:rPr>
          <w:rFonts w:asciiTheme="minorHAnsi" w:hAnsiTheme="minorHAnsi"/>
          <w:i/>
          <w:szCs w:val="24"/>
          <w:lang w:val="en-GB"/>
        </w:rPr>
        <w:t>Die Integration von Einwanderern. Band 2: Ein Index der rechtlichen Diskriminierung.</w:t>
      </w:r>
      <w:r w:rsidRPr="00107C6B">
        <w:rPr>
          <w:rFonts w:asciiTheme="minorHAnsi" w:hAnsiTheme="minorHAnsi"/>
          <w:i/>
          <w:color w:val="000000"/>
          <w:szCs w:val="24"/>
          <w:lang w:val="en-GB"/>
        </w:rPr>
        <w:t xml:space="preserve"> </w:t>
      </w:r>
      <w:r w:rsidRPr="00107C6B">
        <w:rPr>
          <w:rFonts w:asciiTheme="minorHAnsi" w:hAnsiTheme="minorHAnsi"/>
          <w:color w:val="000000"/>
          <w:szCs w:val="24"/>
          <w:lang w:val="en-GB"/>
        </w:rPr>
        <w:t>Band 9.2 der Reihe "Wohlfahrtspolitik und Sozialforschung", edited by Europäischen Zentrum Wien. Frankfurt, New York: Campus Verlag.</w:t>
      </w:r>
    </w:p>
    <w:p w14:paraId="5C83BC34" w14:textId="77777777" w:rsidR="00FD7289" w:rsidRDefault="00FD7289" w:rsidP="0016403B">
      <w:pPr>
        <w:rPr>
          <w:lang w:val="en-US"/>
        </w:rPr>
      </w:pPr>
    </w:p>
    <w:p w14:paraId="154F455B" w14:textId="77777777" w:rsidR="001723CB" w:rsidRDefault="000366A9" w:rsidP="0016403B">
      <w:r>
        <w:rPr>
          <w:lang w:val="en-US"/>
        </w:rPr>
        <w:t>   </w:t>
      </w:r>
    </w:p>
    <w:sectPr w:rsidR="001723CB" w:rsidSect="00FD7289">
      <w:headerReference w:type="even" r:id="rId13"/>
      <w:headerReference w:type="default" r:id="rId14"/>
      <w:pgSz w:w="11900" w:h="16840"/>
      <w:pgMar w:top="1304" w:right="1701" w:bottom="130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1B0C2" w14:textId="77777777" w:rsidR="006B3D39" w:rsidRDefault="006B3D39" w:rsidP="006B3D39">
      <w:r>
        <w:separator/>
      </w:r>
    </w:p>
  </w:endnote>
  <w:endnote w:type="continuationSeparator" w:id="0">
    <w:p w14:paraId="3A6A7996" w14:textId="77777777" w:rsidR="006B3D39" w:rsidRDefault="006B3D39" w:rsidP="006B3D39">
      <w:r>
        <w:continuationSeparator/>
      </w:r>
    </w:p>
  </w:endnote>
  <w:endnote w:id="1">
    <w:p w14:paraId="48C3D75E" w14:textId="44FE05FF" w:rsidR="00FD7289" w:rsidRPr="00DA0775" w:rsidRDefault="00FD7289" w:rsidP="00FD7289">
      <w:pPr>
        <w:rPr>
          <w:rFonts w:ascii="Times New Roman" w:hAnsi="Times New Roman"/>
        </w:rPr>
      </w:pPr>
      <w:r>
        <w:rPr>
          <w:rStyle w:val="EndnoteReference"/>
        </w:rPr>
        <w:endnoteRef/>
      </w:r>
      <w:r>
        <w:t xml:space="preserve"> </w:t>
      </w:r>
      <w:r>
        <w:rPr>
          <w:lang w:val="en-US"/>
        </w:rPr>
        <w:t xml:space="preserve">Martin Ruhs is University Lecturer (Associate Professor) of Political Economy at Oxford University. He is the author of </w:t>
      </w:r>
      <w:r w:rsidRPr="006B3D39">
        <w:rPr>
          <w:i/>
          <w:lang w:val="en-US"/>
        </w:rPr>
        <w:t>The Price of Rights. Regulating International Labor Migration</w:t>
      </w:r>
      <w:r>
        <w:rPr>
          <w:lang w:val="en-US"/>
        </w:rPr>
        <w:t xml:space="preserve"> (Princeton University Press, Aug 2013) and co-editor (with Bridget Anderson) of </w:t>
      </w:r>
      <w:r w:rsidRPr="006B3D39">
        <w:rPr>
          <w:i/>
          <w:lang w:val="en-US"/>
        </w:rPr>
        <w:t>Who</w:t>
      </w:r>
      <w:r>
        <w:rPr>
          <w:i/>
          <w:lang w:val="en-US"/>
        </w:rPr>
        <w:t xml:space="preserve"> Needs Migrant Workers? Labour S</w:t>
      </w:r>
      <w:r w:rsidRPr="006B3D39">
        <w:rPr>
          <w:i/>
          <w:lang w:val="en-US"/>
        </w:rPr>
        <w:t xml:space="preserve">hortages, </w:t>
      </w:r>
      <w:r>
        <w:rPr>
          <w:i/>
          <w:lang w:val="en-US"/>
        </w:rPr>
        <w:t>Immigration and Public P</w:t>
      </w:r>
      <w:r w:rsidRPr="006B3D39">
        <w:rPr>
          <w:i/>
          <w:lang w:val="en-US"/>
        </w:rPr>
        <w:t>olicy</w:t>
      </w:r>
      <w:r>
        <w:rPr>
          <w:lang w:val="en-US"/>
        </w:rPr>
        <w:t xml:space="preserve"> (Oxford University Press, paperback 2012). This note also draws on Ruhs, M (April 2013</w:t>
      </w:r>
      <w:r w:rsidRPr="00DA0775">
        <w:rPr>
          <w:lang w:val="en-US"/>
        </w:rPr>
        <w:t xml:space="preserve">) </w:t>
      </w:r>
      <w:r w:rsidRPr="00DA0775">
        <w:rPr>
          <w:rFonts w:ascii="Times New Roman" w:hAnsi="Times New Roman"/>
          <w:i/>
        </w:rPr>
        <w:t>Towards a post-2015 development agenda: What role for migrant rights and international labour migration?</w:t>
      </w:r>
      <w:r>
        <w:rPr>
          <w:rFonts w:ascii="Times New Roman" w:hAnsi="Times New Roman"/>
          <w:i/>
        </w:rPr>
        <w:t xml:space="preserve"> </w:t>
      </w:r>
      <w:r w:rsidRPr="00DA0775">
        <w:rPr>
          <w:rFonts w:ascii="Times New Roman" w:hAnsi="Times New Roman"/>
        </w:rPr>
        <w:t>A Background Paper for the European Development Report 2013</w:t>
      </w:r>
    </w:p>
    <w:p w14:paraId="1C91196F" w14:textId="36E7BF22" w:rsidR="00FD7289" w:rsidRPr="00DA0775" w:rsidRDefault="00FD728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29F6" w14:textId="77777777" w:rsidR="006B3D39" w:rsidRDefault="006B3D39" w:rsidP="006B3D39">
      <w:r>
        <w:separator/>
      </w:r>
    </w:p>
  </w:footnote>
  <w:footnote w:type="continuationSeparator" w:id="0">
    <w:p w14:paraId="0B85E88C" w14:textId="77777777" w:rsidR="006B3D39" w:rsidRDefault="006B3D39" w:rsidP="006B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7C18" w14:textId="77777777" w:rsidR="00E74002" w:rsidRDefault="00E74002" w:rsidP="006F5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E9E15" w14:textId="77777777" w:rsidR="00E74002" w:rsidRDefault="00E74002" w:rsidP="00E740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942F" w14:textId="77777777" w:rsidR="00E74002" w:rsidRDefault="00E74002" w:rsidP="006F5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37B">
      <w:rPr>
        <w:rStyle w:val="PageNumber"/>
        <w:noProof/>
      </w:rPr>
      <w:t>1</w:t>
    </w:r>
    <w:r>
      <w:rPr>
        <w:rStyle w:val="PageNumber"/>
      </w:rPr>
      <w:fldChar w:fldCharType="end"/>
    </w:r>
  </w:p>
  <w:p w14:paraId="5831BB12" w14:textId="77777777" w:rsidR="00E74002" w:rsidRDefault="00E74002" w:rsidP="00E740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BA2E0F"/>
    <w:multiLevelType w:val="hybridMultilevel"/>
    <w:tmpl w:val="6DA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A9"/>
    <w:rsid w:val="000366A9"/>
    <w:rsid w:val="0008153B"/>
    <w:rsid w:val="00107C6B"/>
    <w:rsid w:val="0016403B"/>
    <w:rsid w:val="001723CB"/>
    <w:rsid w:val="001C2714"/>
    <w:rsid w:val="00412B14"/>
    <w:rsid w:val="004E5619"/>
    <w:rsid w:val="004E71D1"/>
    <w:rsid w:val="00557E62"/>
    <w:rsid w:val="00633DAD"/>
    <w:rsid w:val="00682C13"/>
    <w:rsid w:val="006B3D39"/>
    <w:rsid w:val="007B7239"/>
    <w:rsid w:val="008D66B4"/>
    <w:rsid w:val="009F0D1C"/>
    <w:rsid w:val="00A5272D"/>
    <w:rsid w:val="00DA0775"/>
    <w:rsid w:val="00E74002"/>
    <w:rsid w:val="00EE737B"/>
    <w:rsid w:val="00F71EA1"/>
    <w:rsid w:val="00FD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30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A1"/>
    <w:pPr>
      <w:ind w:left="720"/>
      <w:contextualSpacing/>
    </w:pPr>
  </w:style>
  <w:style w:type="character" w:styleId="Hyperlink">
    <w:name w:val="Hyperlink"/>
    <w:basedOn w:val="DefaultParagraphFont"/>
    <w:uiPriority w:val="99"/>
    <w:unhideWhenUsed/>
    <w:rsid w:val="0008153B"/>
    <w:rPr>
      <w:color w:val="0000FF" w:themeColor="hyperlink"/>
      <w:u w:val="single"/>
    </w:rPr>
  </w:style>
  <w:style w:type="paragraph" w:styleId="FootnoteText">
    <w:name w:val="footnote text"/>
    <w:basedOn w:val="Normal"/>
    <w:link w:val="FootnoteTextChar"/>
    <w:uiPriority w:val="99"/>
    <w:unhideWhenUsed/>
    <w:rsid w:val="006B3D39"/>
  </w:style>
  <w:style w:type="character" w:customStyle="1" w:styleId="FootnoteTextChar">
    <w:name w:val="Footnote Text Char"/>
    <w:basedOn w:val="DefaultParagraphFont"/>
    <w:link w:val="FootnoteText"/>
    <w:uiPriority w:val="99"/>
    <w:rsid w:val="006B3D39"/>
  </w:style>
  <w:style w:type="character" w:styleId="FootnoteReference">
    <w:name w:val="footnote reference"/>
    <w:basedOn w:val="DefaultParagraphFont"/>
    <w:uiPriority w:val="99"/>
    <w:unhideWhenUsed/>
    <w:rsid w:val="006B3D39"/>
    <w:rPr>
      <w:vertAlign w:val="superscript"/>
    </w:rPr>
  </w:style>
  <w:style w:type="paragraph" w:styleId="EndnoteText">
    <w:name w:val="endnote text"/>
    <w:basedOn w:val="Normal"/>
    <w:link w:val="EndnoteTextChar"/>
    <w:uiPriority w:val="99"/>
    <w:semiHidden/>
    <w:unhideWhenUsed/>
    <w:rsid w:val="00FD7289"/>
  </w:style>
  <w:style w:type="character" w:customStyle="1" w:styleId="EndnoteTextChar">
    <w:name w:val="Endnote Text Char"/>
    <w:basedOn w:val="DefaultParagraphFont"/>
    <w:link w:val="EndnoteText"/>
    <w:uiPriority w:val="99"/>
    <w:semiHidden/>
    <w:rsid w:val="00FD7289"/>
  </w:style>
  <w:style w:type="character" w:styleId="EndnoteReference">
    <w:name w:val="endnote reference"/>
    <w:basedOn w:val="DefaultParagraphFont"/>
    <w:uiPriority w:val="99"/>
    <w:semiHidden/>
    <w:unhideWhenUsed/>
    <w:rsid w:val="00FD7289"/>
    <w:rPr>
      <w:vertAlign w:val="superscript"/>
    </w:rPr>
  </w:style>
  <w:style w:type="paragraph" w:styleId="NoSpacing">
    <w:name w:val="No Spacing"/>
    <w:uiPriority w:val="1"/>
    <w:qFormat/>
    <w:rsid w:val="00107C6B"/>
    <w:rPr>
      <w:rFonts w:ascii="Times New Roman" w:eastAsia="Calibri" w:hAnsi="Times New Roman" w:cs="Times New Roman"/>
      <w:szCs w:val="22"/>
      <w:lang w:val="en-US"/>
    </w:rPr>
  </w:style>
  <w:style w:type="paragraph" w:styleId="Header">
    <w:name w:val="header"/>
    <w:basedOn w:val="Normal"/>
    <w:link w:val="HeaderChar"/>
    <w:uiPriority w:val="99"/>
    <w:unhideWhenUsed/>
    <w:rsid w:val="00E74002"/>
    <w:pPr>
      <w:tabs>
        <w:tab w:val="center" w:pos="4320"/>
        <w:tab w:val="right" w:pos="8640"/>
      </w:tabs>
    </w:pPr>
  </w:style>
  <w:style w:type="character" w:customStyle="1" w:styleId="HeaderChar">
    <w:name w:val="Header Char"/>
    <w:basedOn w:val="DefaultParagraphFont"/>
    <w:link w:val="Header"/>
    <w:uiPriority w:val="99"/>
    <w:rsid w:val="00E74002"/>
  </w:style>
  <w:style w:type="character" w:styleId="PageNumber">
    <w:name w:val="page number"/>
    <w:basedOn w:val="DefaultParagraphFont"/>
    <w:uiPriority w:val="99"/>
    <w:semiHidden/>
    <w:unhideWhenUsed/>
    <w:rsid w:val="00E7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A1"/>
    <w:pPr>
      <w:ind w:left="720"/>
      <w:contextualSpacing/>
    </w:pPr>
  </w:style>
  <w:style w:type="character" w:styleId="Hyperlink">
    <w:name w:val="Hyperlink"/>
    <w:basedOn w:val="DefaultParagraphFont"/>
    <w:uiPriority w:val="99"/>
    <w:unhideWhenUsed/>
    <w:rsid w:val="0008153B"/>
    <w:rPr>
      <w:color w:val="0000FF" w:themeColor="hyperlink"/>
      <w:u w:val="single"/>
    </w:rPr>
  </w:style>
  <w:style w:type="paragraph" w:styleId="FootnoteText">
    <w:name w:val="footnote text"/>
    <w:basedOn w:val="Normal"/>
    <w:link w:val="FootnoteTextChar"/>
    <w:uiPriority w:val="99"/>
    <w:unhideWhenUsed/>
    <w:rsid w:val="006B3D39"/>
  </w:style>
  <w:style w:type="character" w:customStyle="1" w:styleId="FootnoteTextChar">
    <w:name w:val="Footnote Text Char"/>
    <w:basedOn w:val="DefaultParagraphFont"/>
    <w:link w:val="FootnoteText"/>
    <w:uiPriority w:val="99"/>
    <w:rsid w:val="006B3D39"/>
  </w:style>
  <w:style w:type="character" w:styleId="FootnoteReference">
    <w:name w:val="footnote reference"/>
    <w:basedOn w:val="DefaultParagraphFont"/>
    <w:uiPriority w:val="99"/>
    <w:unhideWhenUsed/>
    <w:rsid w:val="006B3D39"/>
    <w:rPr>
      <w:vertAlign w:val="superscript"/>
    </w:rPr>
  </w:style>
  <w:style w:type="paragraph" w:styleId="EndnoteText">
    <w:name w:val="endnote text"/>
    <w:basedOn w:val="Normal"/>
    <w:link w:val="EndnoteTextChar"/>
    <w:uiPriority w:val="99"/>
    <w:semiHidden/>
    <w:unhideWhenUsed/>
    <w:rsid w:val="00FD7289"/>
  </w:style>
  <w:style w:type="character" w:customStyle="1" w:styleId="EndnoteTextChar">
    <w:name w:val="Endnote Text Char"/>
    <w:basedOn w:val="DefaultParagraphFont"/>
    <w:link w:val="EndnoteText"/>
    <w:uiPriority w:val="99"/>
    <w:semiHidden/>
    <w:rsid w:val="00FD7289"/>
  </w:style>
  <w:style w:type="character" w:styleId="EndnoteReference">
    <w:name w:val="endnote reference"/>
    <w:basedOn w:val="DefaultParagraphFont"/>
    <w:uiPriority w:val="99"/>
    <w:semiHidden/>
    <w:unhideWhenUsed/>
    <w:rsid w:val="00FD7289"/>
    <w:rPr>
      <w:vertAlign w:val="superscript"/>
    </w:rPr>
  </w:style>
  <w:style w:type="paragraph" w:styleId="NoSpacing">
    <w:name w:val="No Spacing"/>
    <w:uiPriority w:val="1"/>
    <w:qFormat/>
    <w:rsid w:val="00107C6B"/>
    <w:rPr>
      <w:rFonts w:ascii="Times New Roman" w:eastAsia="Calibri" w:hAnsi="Times New Roman" w:cs="Times New Roman"/>
      <w:szCs w:val="22"/>
      <w:lang w:val="en-US"/>
    </w:rPr>
  </w:style>
  <w:style w:type="paragraph" w:styleId="Header">
    <w:name w:val="header"/>
    <w:basedOn w:val="Normal"/>
    <w:link w:val="HeaderChar"/>
    <w:uiPriority w:val="99"/>
    <w:unhideWhenUsed/>
    <w:rsid w:val="00E74002"/>
    <w:pPr>
      <w:tabs>
        <w:tab w:val="center" w:pos="4320"/>
        <w:tab w:val="right" w:pos="8640"/>
      </w:tabs>
    </w:pPr>
  </w:style>
  <w:style w:type="character" w:customStyle="1" w:styleId="HeaderChar">
    <w:name w:val="Header Char"/>
    <w:basedOn w:val="DefaultParagraphFont"/>
    <w:link w:val="Header"/>
    <w:uiPriority w:val="99"/>
    <w:rsid w:val="00E74002"/>
  </w:style>
  <w:style w:type="character" w:styleId="PageNumber">
    <w:name w:val="page number"/>
    <w:basedOn w:val="DefaultParagraphFont"/>
    <w:uiPriority w:val="99"/>
    <w:semiHidden/>
    <w:unhideWhenUsed/>
    <w:rsid w:val="00E7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as.ox.ac.uk/fileadmin/files/Publications/working_papers/WP_2011/WP1188%20Ruhs_Pap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as.ox.ac.uk/publications/working-papers/wp-11-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dr.undp.org/en/statistics/" TargetMode="External"/><Relationship Id="rId4" Type="http://schemas.microsoft.com/office/2007/relationships/stylesWithEffects" Target="stylesWithEffects.xml"/><Relationship Id="rId9" Type="http://schemas.openxmlformats.org/officeDocument/2006/relationships/hyperlink" Target="mailto:martin.ruhs@conted.ox.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8A51-FF58-479A-8065-64EF362E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Ruhs</dc:creator>
  <cp:lastModifiedBy>Harumi Fuentes</cp:lastModifiedBy>
  <cp:revision>2</cp:revision>
  <dcterms:created xsi:type="dcterms:W3CDTF">2013-04-22T13:19:00Z</dcterms:created>
  <dcterms:modified xsi:type="dcterms:W3CDTF">2013-04-22T13:19:00Z</dcterms:modified>
</cp:coreProperties>
</file>