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DE" w:rsidRPr="00770E04" w:rsidRDefault="00026B98" w:rsidP="003274E4">
      <w:pPr>
        <w:jc w:val="center"/>
        <w:rPr>
          <w:b/>
        </w:rPr>
      </w:pPr>
      <w:r>
        <w:rPr>
          <w:b/>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37.05pt;width:5in;height:79.5pt;z-index:251658240" wrapcoords="-45 0 -45 21396 21600 21396 21600 0 -45 0">
            <v:imagedata r:id="rId9" o:title=""/>
            <w10:wrap type="tight"/>
          </v:shape>
          <o:OLEObject Type="Embed" ProgID="MSPhotoEd.3" ShapeID="_x0000_s1026" DrawAspect="Content" ObjectID="_1416296487" r:id="rId10"/>
        </w:pict>
      </w:r>
    </w:p>
    <w:p w:rsidR="004B0543" w:rsidRPr="00770E04" w:rsidRDefault="004B0543" w:rsidP="003274E4">
      <w:pPr>
        <w:jc w:val="center"/>
        <w:rPr>
          <w:b/>
        </w:rPr>
      </w:pPr>
    </w:p>
    <w:p w:rsidR="004B0543" w:rsidRPr="00770E04" w:rsidRDefault="004B0543"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D02DDE" w:rsidRPr="00770E04" w:rsidRDefault="004B0543" w:rsidP="00E4103F">
      <w:pPr>
        <w:jc w:val="center"/>
        <w:rPr>
          <w:rFonts w:ascii="Arial" w:eastAsia="Times New Roman" w:hAnsi="Arial" w:cs="Arial"/>
          <w:b/>
          <w:bCs/>
          <w:sz w:val="28"/>
          <w:szCs w:val="28"/>
          <w:lang w:eastAsia="fr-FR"/>
        </w:rPr>
      </w:pPr>
      <w:r w:rsidRPr="00770E04">
        <w:rPr>
          <w:rFonts w:ascii="Arial" w:eastAsia="Times New Roman" w:hAnsi="Arial" w:cs="Arial"/>
          <w:b/>
          <w:bCs/>
          <w:sz w:val="28"/>
          <w:szCs w:val="28"/>
          <w:lang w:eastAsia="fr-FR"/>
        </w:rPr>
        <w:t>Contribution de l’Association Démocratique des Femmes du Maroc</w:t>
      </w:r>
      <w:r w:rsidR="0053051D">
        <w:rPr>
          <w:rFonts w:ascii="Arial" w:eastAsia="Times New Roman" w:hAnsi="Arial" w:cs="Arial"/>
          <w:b/>
          <w:bCs/>
          <w:sz w:val="28"/>
          <w:szCs w:val="28"/>
          <w:lang w:eastAsia="fr-FR"/>
        </w:rPr>
        <w:t xml:space="preserve"> </w:t>
      </w:r>
      <w:r w:rsidRPr="00770E04">
        <w:rPr>
          <w:rFonts w:ascii="Arial" w:eastAsia="Times New Roman" w:hAnsi="Arial" w:cs="Arial"/>
          <w:b/>
          <w:bCs/>
          <w:sz w:val="28"/>
          <w:szCs w:val="28"/>
          <w:lang w:eastAsia="fr-FR"/>
        </w:rPr>
        <w:t>dans l’élaboration du HCDH du :</w:t>
      </w:r>
    </w:p>
    <w:p w:rsidR="004B0543" w:rsidRPr="00770E04" w:rsidRDefault="004B0543" w:rsidP="003274E4">
      <w:pPr>
        <w:jc w:val="center"/>
        <w:rPr>
          <w:rFonts w:ascii="Arial" w:eastAsia="Times New Roman" w:hAnsi="Arial" w:cs="Arial"/>
          <w:b/>
          <w:bCs/>
          <w:sz w:val="28"/>
          <w:szCs w:val="28"/>
          <w:lang w:eastAsia="fr-FR"/>
        </w:rPr>
      </w:pPr>
    </w:p>
    <w:p w:rsidR="004B0543" w:rsidRPr="00770E04" w:rsidRDefault="004B0543" w:rsidP="003274E4">
      <w:pPr>
        <w:jc w:val="center"/>
        <w:rPr>
          <w:rFonts w:ascii="Arial" w:eastAsia="Times New Roman" w:hAnsi="Arial" w:cs="Arial"/>
          <w:b/>
          <w:bCs/>
          <w:sz w:val="28"/>
          <w:szCs w:val="28"/>
          <w:lang w:eastAsia="fr-FR"/>
        </w:rPr>
      </w:pPr>
    </w:p>
    <w:p w:rsidR="004B0543" w:rsidRPr="00770E04" w:rsidRDefault="004B0543" w:rsidP="003274E4">
      <w:pPr>
        <w:jc w:val="center"/>
        <w:rPr>
          <w:rFonts w:ascii="Arial" w:eastAsia="Times New Roman" w:hAnsi="Arial" w:cs="Arial"/>
          <w:b/>
          <w:bCs/>
          <w:sz w:val="32"/>
          <w:szCs w:val="32"/>
          <w:lang w:eastAsia="fr-FR"/>
        </w:rPr>
      </w:pPr>
    </w:p>
    <w:p w:rsidR="004B0543" w:rsidRPr="00770E04" w:rsidRDefault="004B0543" w:rsidP="003274E4">
      <w:pPr>
        <w:jc w:val="center"/>
        <w:rPr>
          <w:rFonts w:ascii="Arial" w:eastAsia="Times New Roman" w:hAnsi="Arial" w:cs="Arial"/>
          <w:b/>
          <w:bCs/>
          <w:sz w:val="28"/>
          <w:szCs w:val="28"/>
          <w:lang w:eastAsia="fr-FR"/>
        </w:rPr>
      </w:pPr>
    </w:p>
    <w:p w:rsidR="003274E4" w:rsidRPr="00770E04" w:rsidRDefault="004B0543" w:rsidP="00E4103F">
      <w:pPr>
        <w:jc w:val="center"/>
        <w:rPr>
          <w:rFonts w:ascii="Arial" w:eastAsia="Times New Roman" w:hAnsi="Arial" w:cs="Arial"/>
          <w:b/>
          <w:bCs/>
          <w:sz w:val="28"/>
          <w:szCs w:val="28"/>
          <w:lang w:eastAsia="fr-FR"/>
        </w:rPr>
      </w:pPr>
      <w:r w:rsidRPr="00770E04">
        <w:rPr>
          <w:rFonts w:ascii="Arial" w:eastAsia="Times New Roman" w:hAnsi="Arial" w:cs="Arial"/>
          <w:b/>
          <w:bCs/>
          <w:sz w:val="28"/>
          <w:szCs w:val="28"/>
          <w:lang w:eastAsia="fr-FR"/>
        </w:rPr>
        <w:t>“</w:t>
      </w:r>
      <w:bookmarkStart w:id="0" w:name="_GoBack"/>
      <w:r w:rsidRPr="00770E04">
        <w:rPr>
          <w:rFonts w:ascii="Arial" w:eastAsia="Times New Roman" w:hAnsi="Arial" w:cs="Arial"/>
          <w:b/>
          <w:bCs/>
          <w:sz w:val="28"/>
          <w:szCs w:val="28"/>
          <w:lang w:eastAsia="fr-FR"/>
        </w:rPr>
        <w:t>Rapport sur l’état des</w:t>
      </w:r>
      <w:r w:rsidR="003274E4" w:rsidRPr="00770E04">
        <w:rPr>
          <w:rFonts w:ascii="Arial" w:eastAsia="Times New Roman" w:hAnsi="Arial" w:cs="Arial"/>
          <w:b/>
          <w:bCs/>
          <w:sz w:val="28"/>
          <w:szCs w:val="28"/>
          <w:lang w:eastAsia="fr-FR"/>
        </w:rPr>
        <w:t xml:space="preserve"> discrimination</w:t>
      </w:r>
      <w:r w:rsidRPr="00770E04">
        <w:rPr>
          <w:rFonts w:ascii="Arial" w:eastAsia="Times New Roman" w:hAnsi="Arial" w:cs="Arial"/>
          <w:b/>
          <w:bCs/>
          <w:sz w:val="28"/>
          <w:szCs w:val="28"/>
          <w:lang w:eastAsia="fr-FR"/>
        </w:rPr>
        <w:t>s</w:t>
      </w:r>
      <w:r w:rsidR="003274E4" w:rsidRPr="00770E04">
        <w:rPr>
          <w:rFonts w:ascii="Arial" w:eastAsia="Times New Roman" w:hAnsi="Arial" w:cs="Arial"/>
          <w:b/>
          <w:bCs/>
          <w:sz w:val="28"/>
          <w:szCs w:val="28"/>
          <w:lang w:eastAsia="fr-FR"/>
        </w:rPr>
        <w:t xml:space="preserve"> à l’égard des femmes en matière de nationalité au Maroc</w:t>
      </w:r>
      <w:bookmarkEnd w:id="0"/>
      <w:r w:rsidRPr="00770E04">
        <w:rPr>
          <w:rFonts w:ascii="Arial" w:eastAsia="Times New Roman" w:hAnsi="Arial" w:cs="Arial"/>
          <w:b/>
          <w:bCs/>
          <w:sz w:val="28"/>
          <w:szCs w:val="28"/>
          <w:lang w:eastAsia="fr-FR"/>
        </w:rPr>
        <w:t>”</w:t>
      </w:r>
    </w:p>
    <w:p w:rsidR="004B0543" w:rsidRPr="00770E04" w:rsidRDefault="004B0543" w:rsidP="003274E4">
      <w:pPr>
        <w:rPr>
          <w:rFonts w:ascii="Arial" w:eastAsia="Times New Roman" w:hAnsi="Arial" w:cs="Arial"/>
          <w:b/>
          <w:bCs/>
          <w:sz w:val="28"/>
          <w:szCs w:val="28"/>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b/>
        </w:rPr>
      </w:pPr>
    </w:p>
    <w:p w:rsidR="004B0543" w:rsidRPr="00770E04" w:rsidRDefault="004B0543" w:rsidP="003274E4">
      <w:pPr>
        <w:rPr>
          <w:b/>
        </w:rPr>
      </w:pPr>
    </w:p>
    <w:p w:rsidR="00D02DDE" w:rsidRPr="00770E04" w:rsidRDefault="004B0543" w:rsidP="003274E4">
      <w:pPr>
        <w:rPr>
          <w:b/>
        </w:rPr>
      </w:pPr>
      <w:r w:rsidRPr="00770E04">
        <w:rPr>
          <w:b/>
        </w:rPr>
        <w:lastRenderedPageBreak/>
        <w:t>Sommaire</w:t>
      </w:r>
    </w:p>
    <w:p w:rsidR="003274E4" w:rsidRPr="00770E04" w:rsidRDefault="003274E4" w:rsidP="003274E4">
      <w:pPr>
        <w:rPr>
          <w:b/>
        </w:rPr>
      </w:pPr>
    </w:p>
    <w:p w:rsidR="00D02DDE" w:rsidRPr="00770E04" w:rsidRDefault="003274E4" w:rsidP="003274E4">
      <w:pPr>
        <w:rPr>
          <w:b/>
          <w:i/>
        </w:rPr>
      </w:pPr>
      <w:r w:rsidRPr="00770E04">
        <w:rPr>
          <w:b/>
          <w:i/>
        </w:rPr>
        <w:t>Contexte</w:t>
      </w:r>
    </w:p>
    <w:p w:rsidR="003274E4" w:rsidRPr="00770E04" w:rsidRDefault="003274E4" w:rsidP="003274E4">
      <w:pPr>
        <w:rPr>
          <w:b/>
          <w:i/>
        </w:rPr>
      </w:pPr>
    </w:p>
    <w:p w:rsidR="004B0543" w:rsidRPr="00770E04" w:rsidRDefault="003274E4" w:rsidP="004B0543">
      <w:pPr>
        <w:pStyle w:val="ListParagraph"/>
        <w:numPr>
          <w:ilvl w:val="0"/>
          <w:numId w:val="12"/>
        </w:numPr>
        <w:autoSpaceDE w:val="0"/>
        <w:autoSpaceDN w:val="0"/>
        <w:adjustRightInd w:val="0"/>
        <w:spacing w:after="120" w:line="480" w:lineRule="auto"/>
        <w:jc w:val="both"/>
        <w:rPr>
          <w:rFonts w:eastAsia="Times New Roman" w:cs="Traditional Arabic"/>
          <w:lang w:eastAsia="fr-FR" w:bidi="ar-MA"/>
        </w:rPr>
      </w:pPr>
      <w:r w:rsidRPr="00770E04">
        <w:rPr>
          <w:rFonts w:eastAsia="Times New Roman" w:cs="Traditional Arabic"/>
          <w:b/>
          <w:lang w:eastAsia="fr-FR" w:bidi="ar-MA"/>
        </w:rPr>
        <w:t>Les droits des femme</w:t>
      </w:r>
      <w:r w:rsidR="004A421F" w:rsidRPr="00770E04">
        <w:rPr>
          <w:rFonts w:eastAsia="Times New Roman" w:cs="Traditional Arabic"/>
          <w:b/>
          <w:lang w:eastAsia="fr-FR" w:bidi="ar-MA"/>
        </w:rPr>
        <w:t>s dans le code de la Nationalité</w:t>
      </w:r>
      <w:r w:rsidR="004A421F" w:rsidRPr="00770E04">
        <w:rPr>
          <w:rFonts w:eastAsia="Times New Roman" w:cs="Traditional Arabic"/>
          <w:lang w:eastAsia="fr-FR" w:bidi="ar-MA"/>
        </w:rPr>
        <w:t>…………………………………...2</w:t>
      </w:r>
    </w:p>
    <w:p w:rsidR="00D02DDE" w:rsidRPr="00770E04" w:rsidRDefault="00D02DDE" w:rsidP="00D02DDE">
      <w:pPr>
        <w:pStyle w:val="ListParagraph"/>
        <w:numPr>
          <w:ilvl w:val="0"/>
          <w:numId w:val="12"/>
        </w:numPr>
        <w:autoSpaceDE w:val="0"/>
        <w:autoSpaceDN w:val="0"/>
        <w:adjustRightInd w:val="0"/>
        <w:spacing w:after="120" w:line="480" w:lineRule="auto"/>
        <w:jc w:val="both"/>
        <w:rPr>
          <w:rFonts w:eastAsia="Times New Roman" w:cs="Traditional Arabic"/>
          <w:lang w:eastAsia="fr-FR" w:bidi="ar-MA"/>
        </w:rPr>
      </w:pPr>
      <w:r w:rsidRPr="00770E04">
        <w:rPr>
          <w:rFonts w:eastAsia="Times New Roman" w:cs="Traditional Arabic"/>
          <w:b/>
          <w:lang w:eastAsia="fr-FR" w:bidi="ar-MA"/>
        </w:rPr>
        <w:t>Les discriminations maintenues dans le code de la nationalité</w:t>
      </w:r>
      <w:r w:rsidR="004A421F" w:rsidRPr="00770E04">
        <w:rPr>
          <w:rFonts w:eastAsia="Times New Roman" w:cs="Traditional Arabic"/>
          <w:lang w:eastAsia="fr-FR" w:bidi="ar-MA"/>
        </w:rPr>
        <w:t>…………………...3</w:t>
      </w:r>
    </w:p>
    <w:p w:rsidR="00D02DDE" w:rsidRPr="00770E04" w:rsidRDefault="00D02DDE" w:rsidP="00D02DDE">
      <w:pPr>
        <w:autoSpaceDE w:val="0"/>
        <w:autoSpaceDN w:val="0"/>
        <w:adjustRightInd w:val="0"/>
        <w:spacing w:after="120"/>
        <w:jc w:val="both"/>
        <w:rPr>
          <w:rFonts w:eastAsia="Times New Roman" w:cs="Traditional Arabic"/>
          <w:b/>
          <w:lang w:eastAsia="fr-FR" w:bidi="ar-MA"/>
        </w:rPr>
      </w:pPr>
    </w:p>
    <w:p w:rsidR="00D02DDE" w:rsidRPr="00770E04" w:rsidRDefault="00D02DDE" w:rsidP="00D02DDE">
      <w:pPr>
        <w:pStyle w:val="ListParagraph"/>
        <w:numPr>
          <w:ilvl w:val="0"/>
          <w:numId w:val="12"/>
        </w:numPr>
        <w:autoSpaceDE w:val="0"/>
        <w:autoSpaceDN w:val="0"/>
        <w:adjustRightInd w:val="0"/>
        <w:spacing w:after="120"/>
        <w:jc w:val="both"/>
        <w:rPr>
          <w:rFonts w:eastAsia="Times New Roman" w:cs="Traditional Arabic"/>
          <w:lang w:eastAsia="fr-FR" w:bidi="ar-MA"/>
        </w:rPr>
      </w:pPr>
      <w:r w:rsidRPr="00770E04">
        <w:rPr>
          <w:rFonts w:eastAsia="Times New Roman" w:cs="Traditional Arabic"/>
          <w:b/>
          <w:lang w:eastAsia="fr-FR" w:bidi="ar-MA"/>
        </w:rPr>
        <w:t>Les bonnes pratiques du Maroc et autres mesures visant à éliminer la discrimination à l’égard des femmes et à réduire/éviter le phénomène de l’apatride</w:t>
      </w:r>
      <w:r w:rsidR="004A421F" w:rsidRPr="00770E04">
        <w:rPr>
          <w:rFonts w:eastAsia="Times New Roman" w:cs="Traditional Arabic"/>
          <w:lang w:eastAsia="fr-FR" w:bidi="ar-MA"/>
        </w:rPr>
        <w:t>………………………………………………………………………………………………………..4</w:t>
      </w:r>
    </w:p>
    <w:p w:rsidR="00D02DDE" w:rsidRPr="00770E04" w:rsidRDefault="00D02DDE" w:rsidP="00D02DDE">
      <w:pPr>
        <w:pStyle w:val="ListParagraph"/>
        <w:autoSpaceDE w:val="0"/>
        <w:autoSpaceDN w:val="0"/>
        <w:adjustRightInd w:val="0"/>
        <w:spacing w:after="120" w:line="480" w:lineRule="auto"/>
        <w:jc w:val="both"/>
        <w:rPr>
          <w:rFonts w:eastAsia="Times New Roman" w:cs="Traditional Arabic"/>
          <w:b/>
          <w:lang w:eastAsia="fr-FR" w:bidi="ar-MA"/>
        </w:rPr>
      </w:pPr>
    </w:p>
    <w:p w:rsidR="00D02DDE" w:rsidRPr="00770E04" w:rsidRDefault="00D02DDE" w:rsidP="005F11EA">
      <w:pPr>
        <w:pStyle w:val="ListParagraph"/>
        <w:numPr>
          <w:ilvl w:val="0"/>
          <w:numId w:val="12"/>
        </w:numPr>
        <w:autoSpaceDE w:val="0"/>
        <w:autoSpaceDN w:val="0"/>
        <w:adjustRightInd w:val="0"/>
        <w:spacing w:after="120" w:line="480" w:lineRule="auto"/>
        <w:jc w:val="both"/>
        <w:rPr>
          <w:rFonts w:eastAsia="Times New Roman" w:cs="Traditional Arabic"/>
          <w:b/>
          <w:lang w:eastAsia="fr-FR" w:bidi="ar-MA"/>
        </w:rPr>
      </w:pPr>
      <w:r w:rsidRPr="00770E04">
        <w:rPr>
          <w:rFonts w:eastAsia="Times New Roman" w:cs="Traditional Arabic"/>
          <w:b/>
          <w:lang w:eastAsia="fr-FR" w:bidi="ar-MA"/>
        </w:rPr>
        <w:t>Le rôle joué par les associations dans la rév</w:t>
      </w:r>
      <w:r w:rsidR="004A421F" w:rsidRPr="00770E04">
        <w:rPr>
          <w:rFonts w:eastAsia="Times New Roman" w:cs="Traditional Arabic"/>
          <w:b/>
          <w:lang w:eastAsia="fr-FR" w:bidi="ar-MA"/>
        </w:rPr>
        <w:t>ision du Code de la Nationalité</w:t>
      </w:r>
      <w:proofErr w:type="gramStart"/>
      <w:r w:rsidR="004A421F" w:rsidRPr="00770E04">
        <w:rPr>
          <w:rFonts w:eastAsia="Times New Roman" w:cs="Traditional Arabic"/>
          <w:lang w:eastAsia="fr-FR" w:bidi="ar-MA"/>
        </w:rPr>
        <w:t>..</w:t>
      </w:r>
      <w:proofErr w:type="gramEnd"/>
      <w:r w:rsidR="005F11EA" w:rsidRPr="00770E04">
        <w:rPr>
          <w:rFonts w:eastAsia="Times New Roman" w:cs="Traditional Arabic"/>
          <w:lang w:eastAsia="fr-FR" w:bidi="ar-MA"/>
        </w:rPr>
        <w:t>5</w:t>
      </w:r>
    </w:p>
    <w:p w:rsidR="00D02DDE" w:rsidRPr="00770E04" w:rsidRDefault="00D02DDE" w:rsidP="00D02DDE">
      <w:pPr>
        <w:autoSpaceDE w:val="0"/>
        <w:autoSpaceDN w:val="0"/>
        <w:adjustRightInd w:val="0"/>
        <w:spacing w:after="120" w:line="480" w:lineRule="auto"/>
        <w:jc w:val="both"/>
        <w:rPr>
          <w:rFonts w:eastAsia="Times New Roman" w:cs="Traditional Arabic"/>
          <w:b/>
          <w:lang w:eastAsia="fr-FR" w:bidi="ar-MA"/>
        </w:rPr>
      </w:pPr>
    </w:p>
    <w:p w:rsidR="00D02DDE" w:rsidRPr="00770E04" w:rsidRDefault="00D02DDE" w:rsidP="005F11EA">
      <w:pPr>
        <w:pStyle w:val="ListParagraph"/>
        <w:numPr>
          <w:ilvl w:val="0"/>
          <w:numId w:val="12"/>
        </w:numPr>
        <w:autoSpaceDE w:val="0"/>
        <w:autoSpaceDN w:val="0"/>
        <w:adjustRightInd w:val="0"/>
        <w:spacing w:after="120" w:line="480" w:lineRule="auto"/>
        <w:jc w:val="both"/>
        <w:rPr>
          <w:rFonts w:eastAsia="Times New Roman" w:cs="Traditional Arabic"/>
          <w:lang w:eastAsia="fr-FR" w:bidi="ar-MA"/>
        </w:rPr>
      </w:pPr>
      <w:r w:rsidRPr="00770E04">
        <w:rPr>
          <w:rFonts w:eastAsia="Times New Roman" w:cs="Traditional Arabic"/>
          <w:b/>
          <w:lang w:eastAsia="fr-FR" w:bidi="ar-MA"/>
        </w:rPr>
        <w:t>Les discriminations persistant dans le Code de la Nationalité</w:t>
      </w:r>
      <w:r w:rsidR="004A421F" w:rsidRPr="00770E04">
        <w:rPr>
          <w:rFonts w:eastAsia="Times New Roman" w:cs="Traditional Arabic"/>
          <w:lang w:eastAsia="fr-FR" w:bidi="ar-MA"/>
        </w:rPr>
        <w:t>………………….</w:t>
      </w:r>
      <w:r w:rsidR="005F11EA" w:rsidRPr="00770E04">
        <w:rPr>
          <w:rFonts w:eastAsia="Times New Roman" w:cs="Traditional Arabic"/>
          <w:lang w:eastAsia="fr-FR" w:bidi="ar-MA"/>
        </w:rPr>
        <w:t>6</w:t>
      </w:r>
    </w:p>
    <w:p w:rsidR="00D02DDE" w:rsidRPr="00770E04" w:rsidRDefault="00D02DDE" w:rsidP="00D02DDE">
      <w:pPr>
        <w:pStyle w:val="ListParagraph"/>
        <w:autoSpaceDE w:val="0"/>
        <w:autoSpaceDN w:val="0"/>
        <w:adjustRightInd w:val="0"/>
        <w:spacing w:after="120" w:line="480" w:lineRule="auto"/>
        <w:jc w:val="both"/>
        <w:rPr>
          <w:rFonts w:eastAsia="Times New Roman" w:cs="Traditional Arabic"/>
          <w:b/>
          <w:lang w:eastAsia="fr-FR" w:bidi="ar-MA"/>
        </w:rPr>
      </w:pPr>
    </w:p>
    <w:p w:rsidR="003274E4" w:rsidRPr="00770E04" w:rsidRDefault="00D02DDE" w:rsidP="005F11EA">
      <w:pPr>
        <w:pStyle w:val="ListParagraph"/>
        <w:numPr>
          <w:ilvl w:val="0"/>
          <w:numId w:val="12"/>
        </w:numPr>
        <w:autoSpaceDE w:val="0"/>
        <w:autoSpaceDN w:val="0"/>
        <w:adjustRightInd w:val="0"/>
        <w:spacing w:after="120" w:line="480" w:lineRule="auto"/>
        <w:jc w:val="both"/>
        <w:rPr>
          <w:rFonts w:eastAsia="Times New Roman" w:cs="Traditional Arabic"/>
          <w:lang w:eastAsia="fr-FR" w:bidi="ar-MA"/>
        </w:rPr>
      </w:pPr>
      <w:r w:rsidRPr="00770E04">
        <w:rPr>
          <w:rFonts w:eastAsia="Times New Roman" w:cs="Traditional Arabic"/>
          <w:b/>
          <w:lang w:eastAsia="fr-FR" w:bidi="ar-MA"/>
        </w:rPr>
        <w:t>Recommandations</w:t>
      </w:r>
      <w:r w:rsidR="004A421F" w:rsidRPr="00770E04">
        <w:rPr>
          <w:rFonts w:eastAsia="Times New Roman" w:cs="Traditional Arabic"/>
          <w:lang w:eastAsia="fr-FR" w:bidi="ar-MA"/>
        </w:rPr>
        <w:t>…………………………………………………………………………………………</w:t>
      </w:r>
      <w:r w:rsidR="005F11EA" w:rsidRPr="00770E04">
        <w:rPr>
          <w:rFonts w:eastAsia="Times New Roman" w:cs="Traditional Arabic"/>
          <w:lang w:eastAsia="fr-FR" w:bidi="ar-MA"/>
        </w:rPr>
        <w:t>7</w:t>
      </w:r>
    </w:p>
    <w:p w:rsidR="003274E4" w:rsidRPr="00770E04" w:rsidRDefault="003274E4" w:rsidP="003274E4">
      <w:pPr>
        <w:rPr>
          <w:b/>
        </w:rPr>
      </w:pPr>
    </w:p>
    <w:p w:rsidR="003274E4" w:rsidRPr="00770E04" w:rsidRDefault="003274E4" w:rsidP="00887CD0">
      <w:pPr>
        <w:jc w:val="center"/>
        <w:rPr>
          <w:b/>
        </w:rPr>
      </w:pPr>
    </w:p>
    <w:p w:rsidR="003274E4" w:rsidRPr="00770E04" w:rsidRDefault="003274E4"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887CD0" w:rsidRPr="00770E04" w:rsidRDefault="00887CD0" w:rsidP="00887CD0">
      <w:pPr>
        <w:rPr>
          <w:b/>
        </w:rPr>
      </w:pPr>
    </w:p>
    <w:p w:rsidR="0082794C" w:rsidRPr="00770E04" w:rsidRDefault="00887CD0" w:rsidP="00D02DDE">
      <w:pPr>
        <w:jc w:val="both"/>
        <w:rPr>
          <w:rFonts w:ascii="Times New Roman" w:hAnsi="Times New Roman"/>
          <w:b/>
          <w:i/>
          <w:sz w:val="28"/>
          <w:szCs w:val="28"/>
        </w:rPr>
      </w:pPr>
      <w:r w:rsidRPr="00770E04">
        <w:rPr>
          <w:rFonts w:ascii="Times New Roman" w:hAnsi="Times New Roman"/>
          <w:b/>
          <w:i/>
          <w:sz w:val="28"/>
          <w:szCs w:val="28"/>
        </w:rPr>
        <w:lastRenderedPageBreak/>
        <w:t>Contexte</w:t>
      </w:r>
    </w:p>
    <w:p w:rsidR="00E4103F" w:rsidRPr="00770E04" w:rsidRDefault="00E4103F" w:rsidP="00D02DDE">
      <w:pPr>
        <w:jc w:val="both"/>
        <w:rPr>
          <w:rFonts w:ascii="Times New Roman" w:hAnsi="Times New Roman"/>
          <w:b/>
          <w:i/>
          <w:sz w:val="36"/>
          <w:szCs w:val="36"/>
        </w:rPr>
      </w:pPr>
    </w:p>
    <w:p w:rsidR="00CE1F26" w:rsidRPr="00770E04" w:rsidRDefault="00AD3486" w:rsidP="00D02DDE">
      <w:pPr>
        <w:autoSpaceDE w:val="0"/>
        <w:autoSpaceDN w:val="0"/>
        <w:adjustRightInd w:val="0"/>
        <w:spacing w:after="120"/>
        <w:jc w:val="both"/>
        <w:rPr>
          <w:rFonts w:ascii="Times New Roman" w:hAnsi="Times New Roman" w:cs="Times New Roman"/>
          <w:lang w:eastAsia="fr-FR"/>
        </w:rPr>
      </w:pPr>
      <w:r w:rsidRPr="00770E04">
        <w:rPr>
          <w:rFonts w:ascii="Times New Roman" w:hAnsi="Times New Roman" w:cs="Times New Roman"/>
          <w:lang w:eastAsia="fr-FR"/>
        </w:rPr>
        <w:t>1- L</w:t>
      </w:r>
      <w:r w:rsidR="0082794C" w:rsidRPr="00770E04">
        <w:rPr>
          <w:rFonts w:ascii="Times New Roman" w:hAnsi="Times New Roman" w:cs="Times New Roman"/>
          <w:lang w:eastAsia="fr-FR"/>
        </w:rPr>
        <w:t>a nouvelle con</w:t>
      </w:r>
      <w:r w:rsidR="004E10B6" w:rsidRPr="00770E04">
        <w:rPr>
          <w:rFonts w:ascii="Times New Roman" w:hAnsi="Times New Roman" w:cs="Times New Roman"/>
          <w:lang w:eastAsia="fr-FR"/>
        </w:rPr>
        <w:t xml:space="preserve">stitution marocaine affirme dans </w:t>
      </w:r>
      <w:r w:rsidR="00B52D43">
        <w:rPr>
          <w:rFonts w:ascii="Times New Roman" w:hAnsi="Times New Roman" w:cs="Times New Roman"/>
          <w:lang w:eastAsia="fr-FR"/>
        </w:rPr>
        <w:t>le</w:t>
      </w:r>
      <w:r w:rsidR="004E10B6" w:rsidRPr="00770E04">
        <w:rPr>
          <w:rFonts w:ascii="Times New Roman" w:hAnsi="Times New Roman" w:cs="Times New Roman"/>
          <w:lang w:eastAsia="fr-FR"/>
        </w:rPr>
        <w:t xml:space="preserve"> préambule </w:t>
      </w:r>
      <w:r w:rsidR="0082794C" w:rsidRPr="00770E04">
        <w:rPr>
          <w:rFonts w:ascii="Times New Roman" w:hAnsi="Times New Roman" w:cs="Times New Roman"/>
          <w:lang w:eastAsia="fr-FR"/>
        </w:rPr>
        <w:t>l’engagem</w:t>
      </w:r>
      <w:r w:rsidRPr="00770E04">
        <w:rPr>
          <w:rFonts w:ascii="Times New Roman" w:hAnsi="Times New Roman" w:cs="Times New Roman"/>
          <w:lang w:eastAsia="fr-FR"/>
        </w:rPr>
        <w:t>ent de l’Etat à combattre et bannir</w:t>
      </w:r>
      <w:r w:rsidR="00C30A26" w:rsidRPr="00770E04">
        <w:rPr>
          <w:rFonts w:ascii="Times New Roman" w:hAnsi="Times New Roman" w:cs="Times New Roman"/>
          <w:lang w:eastAsia="fr-FR"/>
        </w:rPr>
        <w:t xml:space="preserve"> « </w:t>
      </w:r>
      <w:r w:rsidR="00C30A26" w:rsidRPr="00770E04">
        <w:rPr>
          <w:rFonts w:ascii="Times New Roman" w:hAnsi="Times New Roman" w:cs="Times New Roman"/>
          <w:i/>
          <w:lang w:eastAsia="fr-FR"/>
        </w:rPr>
        <w:t xml:space="preserve">toute discrimination à l’encontre de quiconque, en raison du sexe </w:t>
      </w:r>
      <w:r w:rsidR="00C30A26" w:rsidRPr="00770E04">
        <w:rPr>
          <w:rFonts w:ascii="Times New Roman" w:hAnsi="Times New Roman" w:cs="Times New Roman"/>
          <w:lang w:eastAsia="fr-FR"/>
        </w:rPr>
        <w:t>(…) »</w:t>
      </w:r>
      <w:r w:rsidRPr="00770E04">
        <w:rPr>
          <w:rFonts w:ascii="Times New Roman" w:hAnsi="Times New Roman" w:cs="Times New Roman"/>
          <w:lang w:eastAsia="fr-FR"/>
        </w:rPr>
        <w:t xml:space="preserve">et </w:t>
      </w:r>
      <w:r w:rsidRPr="00B52D43">
        <w:rPr>
          <w:rFonts w:ascii="Times New Roman" w:hAnsi="Times New Roman" w:cs="Times New Roman"/>
          <w:color w:val="000000" w:themeColor="text1"/>
          <w:lang w:eastAsia="fr-FR"/>
        </w:rPr>
        <w:t>reconna</w:t>
      </w:r>
      <w:r w:rsidR="00B52D43">
        <w:rPr>
          <w:rFonts w:ascii="Times New Roman" w:hAnsi="Times New Roman" w:cs="Times New Roman"/>
          <w:color w:val="000000" w:themeColor="text1"/>
          <w:lang w:eastAsia="fr-FR"/>
        </w:rPr>
        <w:t>î</w:t>
      </w:r>
      <w:r w:rsidRPr="00B52D43">
        <w:rPr>
          <w:rFonts w:ascii="Times New Roman" w:hAnsi="Times New Roman" w:cs="Times New Roman"/>
          <w:color w:val="000000" w:themeColor="text1"/>
          <w:lang w:eastAsia="fr-FR"/>
        </w:rPr>
        <w:t>t</w:t>
      </w:r>
      <w:r w:rsidR="00C30A26" w:rsidRPr="00770E04">
        <w:rPr>
          <w:rFonts w:ascii="Times New Roman" w:hAnsi="Times New Roman" w:cs="Times New Roman"/>
          <w:lang w:eastAsia="fr-FR"/>
        </w:rPr>
        <w:t xml:space="preserve"> la primauté des conventions internatio</w:t>
      </w:r>
      <w:r w:rsidRPr="00770E04">
        <w:rPr>
          <w:rFonts w:ascii="Times New Roman" w:hAnsi="Times New Roman" w:cs="Times New Roman"/>
          <w:lang w:eastAsia="fr-FR"/>
        </w:rPr>
        <w:t>nales</w:t>
      </w:r>
      <w:r w:rsidR="00C30A26" w:rsidRPr="00770E04">
        <w:rPr>
          <w:rFonts w:ascii="Times New Roman" w:hAnsi="Times New Roman" w:cs="Times New Roman"/>
          <w:lang w:eastAsia="fr-FR"/>
        </w:rPr>
        <w:t xml:space="preserve"> sur le droit interne du pays impliquant une </w:t>
      </w:r>
      <w:r w:rsidR="004E10B6" w:rsidRPr="00770E04">
        <w:rPr>
          <w:rFonts w:ascii="Times New Roman" w:hAnsi="Times New Roman" w:cs="Times New Roman"/>
          <w:lang w:eastAsia="fr-FR"/>
        </w:rPr>
        <w:t>« « </w:t>
      </w:r>
      <w:r w:rsidR="00C30A26" w:rsidRPr="00770E04">
        <w:rPr>
          <w:rFonts w:ascii="Times New Roman" w:hAnsi="Times New Roman" w:cs="Times New Roman"/>
          <w:i/>
          <w:lang w:eastAsia="fr-FR"/>
        </w:rPr>
        <w:t xml:space="preserve">harmonisation </w:t>
      </w:r>
      <w:r w:rsidR="00C30A26" w:rsidRPr="00770E04">
        <w:rPr>
          <w:rFonts w:ascii="Times New Roman" w:hAnsi="Times New Roman" w:cs="Times New Roman"/>
          <w:lang w:eastAsia="fr-FR"/>
        </w:rPr>
        <w:t>(…)</w:t>
      </w:r>
      <w:r w:rsidR="00C30A26" w:rsidRPr="00770E04">
        <w:rPr>
          <w:rFonts w:ascii="Times New Roman" w:hAnsi="Times New Roman" w:cs="Times New Roman"/>
          <w:i/>
          <w:lang w:eastAsia="fr-FR"/>
        </w:rPr>
        <w:t xml:space="preserve"> des dispositions pertinentes de sa législation nationale</w:t>
      </w:r>
      <w:r w:rsidR="004E10B6" w:rsidRPr="00770E04">
        <w:rPr>
          <w:rFonts w:ascii="Times New Roman" w:hAnsi="Times New Roman" w:cs="Times New Roman"/>
          <w:i/>
          <w:lang w:eastAsia="fr-FR"/>
        </w:rPr>
        <w:t> »</w:t>
      </w:r>
      <w:r w:rsidR="00C30A26" w:rsidRPr="00770E04">
        <w:rPr>
          <w:rFonts w:ascii="Times New Roman" w:hAnsi="Times New Roman" w:cs="Times New Roman"/>
          <w:lang w:eastAsia="fr-FR"/>
        </w:rPr>
        <w:t xml:space="preserve">. </w:t>
      </w:r>
      <w:r w:rsidRPr="00770E04">
        <w:rPr>
          <w:rFonts w:ascii="Times New Roman" w:hAnsi="Times New Roman" w:cs="Times New Roman"/>
          <w:lang w:eastAsia="fr-FR"/>
        </w:rPr>
        <w:t>L’article 19 stipule</w:t>
      </w:r>
      <w:r w:rsidR="0082794C" w:rsidRPr="00770E04">
        <w:rPr>
          <w:rFonts w:ascii="Times New Roman" w:hAnsi="Times New Roman" w:cs="Times New Roman"/>
          <w:lang w:eastAsia="fr-FR"/>
        </w:rPr>
        <w:t xml:space="preserve"> que "</w:t>
      </w:r>
      <w:r w:rsidR="0082794C" w:rsidRPr="00770E04">
        <w:rPr>
          <w:rFonts w:ascii="Times New Roman" w:hAnsi="Times New Roman" w:cs="Times New Roman"/>
          <w:i/>
          <w:lang w:eastAsia="fr-FR"/>
        </w:rPr>
        <w:t>L’homme et la femme jouissent, à égalité, des droits et libertés à caractère civil, politique, économique, social, culturel et environnemental, énoncés dans le présent titre et dans les autres dispositions de la Constitution, ainsi que dans les conventions et pactes internationaux dûment ratifiés par le Royaume et ce, dans le respect des dispositions de la Constitution, des constantes et des lois du Royaume. L’Etat marocain œuvre à la réalisation de la parité entre les hommes et les femmes. Il est créé, à cet effet, une Autorité pour la parité et la lutte contre toutes formes de discrimination.</w:t>
      </w:r>
      <w:r w:rsidR="0082794C" w:rsidRPr="00770E04">
        <w:rPr>
          <w:rFonts w:ascii="Times New Roman" w:hAnsi="Times New Roman" w:cs="Times New Roman"/>
          <w:lang w:eastAsia="fr-FR"/>
        </w:rPr>
        <w:t xml:space="preserve">" </w:t>
      </w:r>
    </w:p>
    <w:p w:rsidR="00AD3486" w:rsidRPr="00770E04" w:rsidRDefault="00CE1F26" w:rsidP="00D02DDE">
      <w:pPr>
        <w:autoSpaceDE w:val="0"/>
        <w:autoSpaceDN w:val="0"/>
        <w:adjustRightInd w:val="0"/>
        <w:spacing w:after="120"/>
        <w:jc w:val="both"/>
        <w:rPr>
          <w:rFonts w:ascii="Times New Roman" w:hAnsi="Times New Roman" w:cs="Times New Roman"/>
          <w:lang w:eastAsia="fr-FR"/>
        </w:rPr>
      </w:pPr>
      <w:r w:rsidRPr="00770E04">
        <w:rPr>
          <w:rFonts w:ascii="Times New Roman" w:hAnsi="Times New Roman" w:cs="Times New Roman"/>
          <w:lang w:eastAsia="fr-FR"/>
        </w:rPr>
        <w:t>2-</w:t>
      </w:r>
      <w:r w:rsidRPr="00770E04">
        <w:rPr>
          <w:rFonts w:ascii="Times New Roman" w:hAnsi="Times New Roman"/>
        </w:rPr>
        <w:t>Le Maroc a ratifié la CED</w:t>
      </w:r>
      <w:r w:rsidR="00B52D43">
        <w:rPr>
          <w:rFonts w:ascii="Times New Roman" w:hAnsi="Times New Roman"/>
        </w:rPr>
        <w:t>AW</w:t>
      </w:r>
      <w:r w:rsidR="00AD3486" w:rsidRPr="00770E04">
        <w:rPr>
          <w:rFonts w:ascii="Times New Roman" w:hAnsi="Times New Roman"/>
        </w:rPr>
        <w:t xml:space="preserve"> en 199</w:t>
      </w:r>
      <w:r w:rsidRPr="00770E04">
        <w:rPr>
          <w:rFonts w:ascii="Times New Roman" w:hAnsi="Times New Roman"/>
        </w:rPr>
        <w:t>3 en émettant toutefois des</w:t>
      </w:r>
      <w:r w:rsidR="00AD3486" w:rsidRPr="00770E04">
        <w:rPr>
          <w:rFonts w:ascii="Times New Roman" w:hAnsi="Times New Roman"/>
        </w:rPr>
        <w:t xml:space="preserve"> réserves. En matière de nationalité, l’Etat marocain a émis une réserve sur le deuxième paragraphe de l’article 9 de la CEDAW (“</w:t>
      </w:r>
      <w:r w:rsidR="00AD3486" w:rsidRPr="00770E04">
        <w:rPr>
          <w:rFonts w:ascii="Times New Roman" w:hAnsi="Times New Roman"/>
          <w:i/>
        </w:rPr>
        <w:t>Les Etats parties accordent à la femme des droits égaux à ceux de l’homme en ce qui concerne la nationalité de leurs enfants</w:t>
      </w:r>
      <w:r w:rsidR="00AD3486" w:rsidRPr="00770E04">
        <w:rPr>
          <w:rFonts w:ascii="Times New Roman" w:hAnsi="Times New Roman"/>
        </w:rPr>
        <w:t xml:space="preserve">”). Il a également assorti les articles 2 et 15 (paragraphe 4) de déclarations interprétatives. En effet, le Maroc accepte les dispositions de l’article 2 (statuant de la discrimination à l’égard des femmes sous toutes ses formes ainsi que de sa poursuite, sous toutes les formes </w:t>
      </w:r>
      <w:r w:rsidR="00364CC9">
        <w:rPr>
          <w:rFonts w:ascii="Times New Roman" w:hAnsi="Times New Roman"/>
        </w:rPr>
        <w:t xml:space="preserve">et </w:t>
      </w:r>
      <w:r w:rsidR="00AD3486" w:rsidRPr="00770E04">
        <w:rPr>
          <w:rFonts w:ascii="Times New Roman" w:hAnsi="Times New Roman"/>
        </w:rPr>
        <w:t>sans retard) à condition qu’elles n’aillent pas à l’encontre de la Charia; et du 4</w:t>
      </w:r>
      <w:r w:rsidR="00AD3486" w:rsidRPr="00770E04">
        <w:rPr>
          <w:rFonts w:ascii="Times New Roman" w:hAnsi="Times New Roman"/>
          <w:vertAlign w:val="superscript"/>
        </w:rPr>
        <w:t>e</w:t>
      </w:r>
      <w:r w:rsidR="00AD3486" w:rsidRPr="00770E04">
        <w:rPr>
          <w:rFonts w:ascii="Times New Roman" w:hAnsi="Times New Roman"/>
        </w:rPr>
        <w:t xml:space="preserve"> paragraphe de l’article 15 (“</w:t>
      </w:r>
      <w:r w:rsidR="00AD3486" w:rsidRPr="00770E04">
        <w:rPr>
          <w:rFonts w:ascii="Times New Roman" w:hAnsi="Times New Roman"/>
          <w:i/>
        </w:rPr>
        <w:t>Les Etats parties reconnaissent à l’homme et à la femme les mêmes droits en ce qui concerne la législation relative au droit des personnes à circuler librement et à choisir leur résidence et leur domicile”</w:t>
      </w:r>
      <w:r w:rsidR="00AD3486" w:rsidRPr="00770E04">
        <w:rPr>
          <w:rFonts w:ascii="Times New Roman" w:hAnsi="Times New Roman"/>
        </w:rPr>
        <w:t>) à condition que ses dispositions n’aillent pas à l’encontre du Code de la Famille.</w:t>
      </w:r>
    </w:p>
    <w:p w:rsidR="0082794C" w:rsidRPr="00770E04" w:rsidRDefault="004A26E3" w:rsidP="00D02DDE">
      <w:pPr>
        <w:autoSpaceDE w:val="0"/>
        <w:autoSpaceDN w:val="0"/>
        <w:adjustRightInd w:val="0"/>
        <w:spacing w:after="120"/>
        <w:jc w:val="both"/>
        <w:rPr>
          <w:rFonts w:ascii="Times New Roman" w:hAnsi="Times New Roman" w:cs="Times New Roman"/>
          <w:lang w:eastAsia="fr-FR"/>
        </w:rPr>
      </w:pPr>
      <w:r w:rsidRPr="00770E04">
        <w:rPr>
          <w:rFonts w:ascii="Times New Roman" w:hAnsi="Times New Roman" w:cs="Times New Roman"/>
          <w:lang w:eastAsia="fr-FR"/>
        </w:rPr>
        <w:t>3</w:t>
      </w:r>
      <w:r w:rsidR="0082794C" w:rsidRPr="00770E04">
        <w:rPr>
          <w:rFonts w:ascii="Times New Roman" w:hAnsi="Times New Roman" w:cs="Times New Roman"/>
          <w:lang w:eastAsia="fr-FR"/>
        </w:rPr>
        <w:t>-</w:t>
      </w:r>
      <w:r w:rsidR="004E10B6" w:rsidRPr="00770E04">
        <w:rPr>
          <w:rFonts w:ascii="Times New Roman" w:hAnsi="Times New Roman" w:cs="Times New Roman"/>
          <w:lang w:eastAsia="fr-FR"/>
        </w:rPr>
        <w:t>A</w:t>
      </w:r>
      <w:r w:rsidR="00CE1F26" w:rsidRPr="00770E04">
        <w:rPr>
          <w:rFonts w:ascii="Times New Roman" w:hAnsi="Times New Roman" w:cs="Times New Roman"/>
          <w:lang w:eastAsia="fr-FR"/>
        </w:rPr>
        <w:t>près la r</w:t>
      </w:r>
      <w:r w:rsidR="00364CC9">
        <w:rPr>
          <w:rFonts w:ascii="Times New Roman" w:hAnsi="Times New Roman" w:cs="Times New Roman"/>
          <w:lang w:eastAsia="fr-FR"/>
        </w:rPr>
        <w:t>é</w:t>
      </w:r>
      <w:r w:rsidR="00CE1F26" w:rsidRPr="00770E04">
        <w:rPr>
          <w:rFonts w:ascii="Times New Roman" w:hAnsi="Times New Roman" w:cs="Times New Roman"/>
          <w:lang w:eastAsia="fr-FR"/>
        </w:rPr>
        <w:t>forme du code de la famille en 2004 et la révisio</w:t>
      </w:r>
      <w:r w:rsidR="004E10B6" w:rsidRPr="00770E04">
        <w:rPr>
          <w:rFonts w:ascii="Times New Roman" w:hAnsi="Times New Roman" w:cs="Times New Roman"/>
          <w:lang w:eastAsia="fr-FR"/>
        </w:rPr>
        <w:t>n du code de la nationalité en  2007</w:t>
      </w:r>
      <w:r w:rsidR="00CE1F26" w:rsidRPr="00770E04">
        <w:rPr>
          <w:rFonts w:ascii="Times New Roman" w:hAnsi="Times New Roman" w:cs="Times New Roman"/>
          <w:lang w:eastAsia="fr-FR"/>
        </w:rPr>
        <w:t>,l</w:t>
      </w:r>
      <w:r w:rsidR="0082794C" w:rsidRPr="00770E04">
        <w:rPr>
          <w:rFonts w:ascii="Times New Roman" w:hAnsi="Times New Roman" w:cs="Times New Roman"/>
          <w:lang w:eastAsia="fr-FR"/>
        </w:rPr>
        <w:t>e Maroc a levé les rés</w:t>
      </w:r>
      <w:r w:rsidR="00733917" w:rsidRPr="00770E04">
        <w:rPr>
          <w:rFonts w:ascii="Times New Roman" w:hAnsi="Times New Roman" w:cs="Times New Roman"/>
          <w:lang w:eastAsia="fr-FR"/>
        </w:rPr>
        <w:t>erves émises sur le 2</w:t>
      </w:r>
      <w:r w:rsidR="00733917" w:rsidRPr="00770E04">
        <w:rPr>
          <w:rFonts w:ascii="Times New Roman" w:hAnsi="Times New Roman" w:cs="Times New Roman"/>
          <w:vertAlign w:val="superscript"/>
          <w:lang w:eastAsia="fr-FR"/>
        </w:rPr>
        <w:t>e</w:t>
      </w:r>
      <w:r w:rsidR="00733917" w:rsidRPr="00770E04">
        <w:rPr>
          <w:rFonts w:ascii="Times New Roman" w:hAnsi="Times New Roman" w:cs="Times New Roman"/>
          <w:lang w:eastAsia="fr-FR"/>
        </w:rPr>
        <w:t xml:space="preserve"> paragraphe de l’article 9</w:t>
      </w:r>
      <w:r w:rsidR="0082794C" w:rsidRPr="00770E04">
        <w:rPr>
          <w:rFonts w:ascii="Times New Roman" w:hAnsi="Times New Roman" w:cs="Times New Roman"/>
          <w:lang w:eastAsia="fr-FR"/>
        </w:rPr>
        <w:t xml:space="preserve"> et sur l’article </w:t>
      </w:r>
      <w:r w:rsidR="00733917" w:rsidRPr="00770E04">
        <w:rPr>
          <w:rFonts w:ascii="Times New Roman" w:hAnsi="Times New Roman" w:cs="Times New Roman"/>
          <w:lang w:eastAsia="fr-FR"/>
        </w:rPr>
        <w:t>16</w:t>
      </w:r>
      <w:r w:rsidR="0082794C" w:rsidRPr="00770E04">
        <w:rPr>
          <w:rFonts w:ascii="Times New Roman" w:hAnsi="Times New Roman" w:cs="Times New Roman"/>
          <w:lang w:eastAsia="fr-FR"/>
        </w:rPr>
        <w:t xml:space="preserve">  de la convention CEDAW  et a procédé au dépôt des instruments de levée de réserves auprès du secrétariat général de</w:t>
      </w:r>
      <w:r w:rsidR="004E10B6" w:rsidRPr="00770E04">
        <w:rPr>
          <w:rFonts w:ascii="Times New Roman" w:hAnsi="Times New Roman" w:cs="Times New Roman"/>
          <w:lang w:eastAsia="fr-FR"/>
        </w:rPr>
        <w:t xml:space="preserve">s Nations Unies le </w:t>
      </w:r>
      <w:r w:rsidR="00364CC9">
        <w:rPr>
          <w:rFonts w:ascii="Times New Roman" w:hAnsi="Times New Roman" w:cs="Times New Roman"/>
          <w:lang w:eastAsia="fr-FR"/>
        </w:rPr>
        <w:t>8</w:t>
      </w:r>
      <w:r w:rsidR="004E10B6" w:rsidRPr="00770E04">
        <w:rPr>
          <w:rFonts w:ascii="Times New Roman" w:hAnsi="Times New Roman" w:cs="Times New Roman"/>
          <w:lang w:eastAsia="fr-FR"/>
        </w:rPr>
        <w:t xml:space="preserve"> avril 2011</w:t>
      </w:r>
      <w:r w:rsidR="0082794C" w:rsidRPr="00770E04">
        <w:rPr>
          <w:rFonts w:ascii="Times New Roman" w:hAnsi="Times New Roman" w:cs="Times New Roman"/>
          <w:lang w:eastAsia="fr-FR"/>
        </w:rPr>
        <w:t>.</w:t>
      </w:r>
    </w:p>
    <w:p w:rsidR="0082794C" w:rsidRPr="00770E04" w:rsidRDefault="004A26E3" w:rsidP="00D02DDE">
      <w:pPr>
        <w:autoSpaceDE w:val="0"/>
        <w:autoSpaceDN w:val="0"/>
        <w:adjustRightInd w:val="0"/>
        <w:spacing w:after="120"/>
        <w:jc w:val="both"/>
        <w:rPr>
          <w:rFonts w:ascii="Times New Roman" w:eastAsia="Times New Roman" w:hAnsi="Times New Roman" w:cs="Traditional Arabic"/>
          <w:lang w:eastAsia="fr-FR" w:bidi="ar-MA"/>
        </w:rPr>
      </w:pPr>
      <w:r w:rsidRPr="00770E04">
        <w:rPr>
          <w:rFonts w:ascii="Times New Roman" w:hAnsi="Times New Roman" w:cs="Times New Roman"/>
          <w:lang w:eastAsia="fr-FR"/>
        </w:rPr>
        <w:t>4</w:t>
      </w:r>
      <w:r w:rsidR="0082794C" w:rsidRPr="00770E04">
        <w:rPr>
          <w:rFonts w:ascii="Times New Roman" w:hAnsi="Times New Roman" w:cs="Times New Roman"/>
          <w:lang w:eastAsia="fr-FR"/>
        </w:rPr>
        <w:t>-</w:t>
      </w:r>
      <w:r w:rsidR="0082794C" w:rsidRPr="00770E04">
        <w:rPr>
          <w:rFonts w:ascii="Times New Roman" w:eastAsia="Times New Roman" w:hAnsi="Times New Roman" w:cs="Traditional Arabic"/>
          <w:lang w:eastAsia="fr-FR" w:bidi="ar-MA"/>
        </w:rPr>
        <w:t xml:space="preserve"> le Conseil du Gouvernement et le Conseil des Ministres ont adopté</w:t>
      </w:r>
      <w:r w:rsidR="009E5DDF">
        <w:rPr>
          <w:rFonts w:ascii="Times New Roman" w:eastAsia="Times New Roman" w:hAnsi="Times New Roman" w:cs="Traditional Arabic"/>
          <w:lang w:eastAsia="fr-FR" w:bidi="ar-MA"/>
        </w:rPr>
        <w:t xml:space="preserve"> novembre 2012 ;</w:t>
      </w:r>
      <w:r w:rsidR="0082794C" w:rsidRPr="00770E04">
        <w:rPr>
          <w:rFonts w:ascii="Times New Roman" w:eastAsia="Times New Roman" w:hAnsi="Times New Roman" w:cs="Traditional Arabic"/>
          <w:lang w:eastAsia="fr-FR" w:bidi="ar-MA"/>
        </w:rPr>
        <w:t xml:space="preserve"> les projets de lois relatifs à l’adhésion du Maroc au protocole optionnel de la </w:t>
      </w:r>
      <w:r w:rsidR="0082794C" w:rsidRPr="00770E04">
        <w:rPr>
          <w:rFonts w:ascii="Times New Roman" w:eastAsia="Times New Roman" w:hAnsi="Times New Roman" w:cs="Traditional Arabic"/>
          <w:i/>
          <w:iCs/>
          <w:lang w:eastAsia="fr-FR" w:bidi="ar-MA"/>
        </w:rPr>
        <w:t>Convention contre la torture et autres peines ou traitements cruels, inhumains ou dégradants</w:t>
      </w:r>
      <w:r w:rsidR="0082794C" w:rsidRPr="00770E04">
        <w:rPr>
          <w:rFonts w:ascii="Times New Roman" w:eastAsia="Times New Roman" w:hAnsi="Times New Roman" w:cs="Traditional Arabic"/>
          <w:lang w:eastAsia="fr-FR" w:bidi="ar-MA"/>
        </w:rPr>
        <w:t xml:space="preserve">, celui du </w:t>
      </w:r>
      <w:r w:rsidR="0082794C" w:rsidRPr="00770E04">
        <w:rPr>
          <w:rFonts w:ascii="Times New Roman" w:eastAsia="Times New Roman" w:hAnsi="Times New Roman" w:cs="Traditional Arabic"/>
          <w:i/>
          <w:iCs/>
          <w:lang w:eastAsia="fr-FR" w:bidi="ar-MA"/>
        </w:rPr>
        <w:t>Pacte international relatif aux droits civils et politiques</w:t>
      </w:r>
      <w:r w:rsidR="0082794C" w:rsidRPr="00770E04">
        <w:rPr>
          <w:rFonts w:ascii="Times New Roman" w:eastAsia="Times New Roman" w:hAnsi="Times New Roman" w:cs="Traditional Arabic"/>
          <w:iCs/>
          <w:lang w:eastAsia="fr-FR" w:bidi="ar-MA"/>
        </w:rPr>
        <w:t>(PIDCP)</w:t>
      </w:r>
      <w:r w:rsidR="0082794C" w:rsidRPr="00770E04">
        <w:rPr>
          <w:rFonts w:ascii="Times New Roman" w:eastAsia="Times New Roman" w:hAnsi="Times New Roman" w:cs="Traditional Arabic"/>
          <w:lang w:eastAsia="fr-FR" w:bidi="ar-MA"/>
        </w:rPr>
        <w:t xml:space="preserve"> ainsi que celui de la </w:t>
      </w:r>
      <w:r w:rsidR="0082794C" w:rsidRPr="00770E04">
        <w:rPr>
          <w:rFonts w:ascii="Times New Roman" w:eastAsia="Times New Roman" w:hAnsi="Times New Roman" w:cs="Traditional Arabic"/>
          <w:i/>
          <w:iCs/>
          <w:lang w:eastAsia="fr-FR" w:bidi="ar-MA"/>
        </w:rPr>
        <w:t xml:space="preserve">Convention sur l'élimination de toutes les formes de discrimination à l'égard des femmes </w:t>
      </w:r>
      <w:r w:rsidR="0082794C" w:rsidRPr="00770E04">
        <w:rPr>
          <w:rFonts w:ascii="Times New Roman" w:eastAsia="Times New Roman" w:hAnsi="Times New Roman" w:cs="Traditional Arabic"/>
          <w:iCs/>
          <w:lang w:eastAsia="fr-FR" w:bidi="ar-MA"/>
        </w:rPr>
        <w:t>(CEDEF)</w:t>
      </w:r>
      <w:r w:rsidR="0082794C" w:rsidRPr="00770E04">
        <w:rPr>
          <w:rFonts w:ascii="Times New Roman" w:eastAsia="Times New Roman" w:hAnsi="Times New Roman" w:cs="Traditional Arabic"/>
          <w:lang w:eastAsia="fr-FR" w:bidi="ar-MA"/>
        </w:rPr>
        <w:t xml:space="preserve">. </w:t>
      </w:r>
    </w:p>
    <w:p w:rsidR="00CE1F26" w:rsidRPr="00770E04" w:rsidRDefault="004A26E3" w:rsidP="00D02DDE">
      <w:pPr>
        <w:autoSpaceDE w:val="0"/>
        <w:autoSpaceDN w:val="0"/>
        <w:adjustRightInd w:val="0"/>
        <w:spacing w:after="120"/>
        <w:jc w:val="both"/>
        <w:rPr>
          <w:rFonts w:ascii="Times New Roman" w:eastAsia="Times New Roman" w:hAnsi="Times New Roman" w:cs="Traditional Arabic"/>
          <w:lang w:eastAsia="fr-FR" w:bidi="ar-MA"/>
        </w:rPr>
      </w:pPr>
      <w:r w:rsidRPr="00770E04">
        <w:rPr>
          <w:rFonts w:ascii="Times New Roman" w:eastAsia="Times New Roman" w:hAnsi="Times New Roman" w:cs="Traditional Arabic"/>
          <w:lang w:eastAsia="fr-FR" w:bidi="ar-MA"/>
        </w:rPr>
        <w:t>5</w:t>
      </w:r>
      <w:r w:rsidR="0082794C" w:rsidRPr="00770E04">
        <w:rPr>
          <w:rFonts w:ascii="Times New Roman" w:eastAsia="Times New Roman" w:hAnsi="Times New Roman" w:cs="Traditional Arabic"/>
          <w:lang w:eastAsia="fr-FR" w:bidi="ar-MA"/>
        </w:rPr>
        <w:t xml:space="preserve">-Certes ces avancées  réaffirment l'attachement du Maroc aux droits humains tels qu'ils sont universellement reconnus. Mais c’est  également </w:t>
      </w:r>
      <w:r w:rsidR="0057349D" w:rsidRPr="00770E04">
        <w:rPr>
          <w:rFonts w:ascii="Times New Roman" w:eastAsia="Times New Roman" w:hAnsi="Times New Roman" w:cs="Traditional Arabic"/>
          <w:lang w:eastAsia="fr-FR" w:bidi="ar-MA"/>
        </w:rPr>
        <w:t xml:space="preserve"> le ré</w:t>
      </w:r>
      <w:r w:rsidR="004E10B6" w:rsidRPr="00770E04">
        <w:rPr>
          <w:rFonts w:ascii="Times New Roman" w:eastAsia="Times New Roman" w:hAnsi="Times New Roman" w:cs="Traditional Arabic"/>
          <w:lang w:eastAsia="fr-FR" w:bidi="ar-MA"/>
        </w:rPr>
        <w:t xml:space="preserve">sultat </w:t>
      </w:r>
      <w:r w:rsidR="00CE1F26" w:rsidRPr="00770E04">
        <w:rPr>
          <w:rFonts w:ascii="Times New Roman" w:eastAsia="Times New Roman" w:hAnsi="Times New Roman" w:cs="Traditional Arabic"/>
          <w:lang w:eastAsia="fr-FR" w:bidi="ar-MA"/>
        </w:rPr>
        <w:t xml:space="preserve">du combat mené par  </w:t>
      </w:r>
      <w:r w:rsidR="004E10B6" w:rsidRPr="00770E04">
        <w:rPr>
          <w:rFonts w:ascii="Times New Roman" w:eastAsia="Times New Roman" w:hAnsi="Times New Roman" w:cs="Traditional Arabic"/>
          <w:lang w:eastAsia="fr-FR" w:bidi="ar-MA"/>
        </w:rPr>
        <w:t>le</w:t>
      </w:r>
      <w:r w:rsidR="0082794C" w:rsidRPr="00770E04">
        <w:rPr>
          <w:rFonts w:ascii="Times New Roman" w:eastAsia="Times New Roman" w:hAnsi="Times New Roman" w:cs="Traditional Arabic"/>
          <w:lang w:eastAsia="fr-FR" w:bidi="ar-MA"/>
        </w:rPr>
        <w:t xml:space="preserve"> mouvement</w:t>
      </w:r>
      <w:r w:rsidR="0057349D" w:rsidRPr="00770E04">
        <w:rPr>
          <w:rFonts w:ascii="Times New Roman" w:eastAsia="Times New Roman" w:hAnsi="Times New Roman" w:cs="Traditional Arabic"/>
          <w:lang w:eastAsia="fr-FR" w:bidi="ar-MA"/>
        </w:rPr>
        <w:t xml:space="preserve"> féministe  depuis une décennie</w:t>
      </w:r>
      <w:r w:rsidR="004E10B6" w:rsidRPr="00770E04">
        <w:rPr>
          <w:rFonts w:ascii="Times New Roman" w:eastAsia="Times New Roman" w:hAnsi="Times New Roman" w:cs="Traditional Arabic"/>
          <w:lang w:eastAsia="fr-FR" w:bidi="ar-MA"/>
        </w:rPr>
        <w:t xml:space="preserve"> afin</w:t>
      </w:r>
      <w:r w:rsidR="00CE1F26" w:rsidRPr="00770E04">
        <w:rPr>
          <w:rFonts w:ascii="Times New Roman" w:eastAsia="Times New Roman" w:hAnsi="Times New Roman" w:cs="Traditional Arabic"/>
          <w:lang w:eastAsia="fr-FR" w:bidi="ar-MA"/>
        </w:rPr>
        <w:t xml:space="preserve"> que l’égalité entre les hommes</w:t>
      </w:r>
      <w:r w:rsidR="003274E4" w:rsidRPr="00770E04">
        <w:rPr>
          <w:rFonts w:ascii="Times New Roman" w:eastAsia="Times New Roman" w:hAnsi="Times New Roman" w:cs="Traditional Arabic"/>
          <w:lang w:eastAsia="fr-FR" w:bidi="ar-MA"/>
        </w:rPr>
        <w:t xml:space="preserve"> et les femmes soit une réalité</w:t>
      </w:r>
      <w:r w:rsidR="00CE1F26" w:rsidRPr="00770E04">
        <w:rPr>
          <w:rFonts w:ascii="Times New Roman" w:eastAsia="Times New Roman" w:hAnsi="Times New Roman" w:cs="Traditional Arabic"/>
          <w:lang w:eastAsia="fr-FR" w:bidi="ar-MA"/>
        </w:rPr>
        <w:t>.</w:t>
      </w:r>
    </w:p>
    <w:p w:rsidR="0071339E" w:rsidRPr="007B144F" w:rsidRDefault="0071339E" w:rsidP="007B144F">
      <w:pPr>
        <w:pStyle w:val="ListParagraph"/>
        <w:numPr>
          <w:ilvl w:val="0"/>
          <w:numId w:val="13"/>
        </w:numPr>
        <w:autoSpaceDE w:val="0"/>
        <w:autoSpaceDN w:val="0"/>
        <w:adjustRightInd w:val="0"/>
        <w:spacing w:after="120"/>
        <w:jc w:val="both"/>
        <w:rPr>
          <w:rFonts w:ascii="Times New Roman" w:eastAsia="Times New Roman" w:hAnsi="Times New Roman" w:cs="Traditional Arabic"/>
          <w:b/>
          <w:sz w:val="28"/>
          <w:szCs w:val="28"/>
          <w:lang w:eastAsia="fr-FR" w:bidi="ar-MA"/>
        </w:rPr>
      </w:pPr>
      <w:r w:rsidRPr="007B144F">
        <w:rPr>
          <w:rFonts w:ascii="Times New Roman" w:eastAsia="Times New Roman" w:hAnsi="Times New Roman" w:cs="Traditional Arabic"/>
          <w:b/>
          <w:sz w:val="28"/>
          <w:szCs w:val="28"/>
          <w:lang w:eastAsia="fr-FR" w:bidi="ar-MA"/>
        </w:rPr>
        <w:t>Les droits des femmes dans le code de la Nationalité</w:t>
      </w:r>
    </w:p>
    <w:p w:rsidR="0071339E" w:rsidRPr="00770E04" w:rsidRDefault="004A26E3" w:rsidP="00D02DDE">
      <w:pPr>
        <w:jc w:val="both"/>
        <w:rPr>
          <w:rFonts w:ascii="Times New Roman" w:hAnsi="Times New Roman" w:cs="Arial"/>
          <w:szCs w:val="22"/>
        </w:rPr>
      </w:pPr>
      <w:r w:rsidRPr="00770E04">
        <w:rPr>
          <w:rFonts w:ascii="Times New Roman" w:hAnsi="Times New Roman" w:cs="Arial"/>
          <w:szCs w:val="22"/>
        </w:rPr>
        <w:t>6</w:t>
      </w:r>
      <w:r w:rsidR="0071339E" w:rsidRPr="00770E04">
        <w:rPr>
          <w:rFonts w:ascii="Times New Roman" w:hAnsi="Times New Roman" w:cs="Arial"/>
          <w:szCs w:val="22"/>
        </w:rPr>
        <w:t>-L’ancienne législation sur la nationalité, en vigueur au Maroc depuis 1958, reconnaissait à la femme des droits égaux à ceux de l’homme en matière d’acquisition, de changement et de conservation de la nationalité</w:t>
      </w:r>
      <w:r w:rsidR="00364CC9">
        <w:rPr>
          <w:rFonts w:ascii="Times New Roman" w:hAnsi="Times New Roman" w:cs="Arial"/>
          <w:szCs w:val="22"/>
        </w:rPr>
        <w:t>, l</w:t>
      </w:r>
      <w:r w:rsidR="0071339E" w:rsidRPr="00770E04">
        <w:rPr>
          <w:rFonts w:ascii="Times New Roman" w:hAnsi="Times New Roman" w:cs="Arial"/>
          <w:szCs w:val="22"/>
        </w:rPr>
        <w:t>e mariage de la femme n’ayant aucun effet sur sa nationalité.</w:t>
      </w:r>
    </w:p>
    <w:p w:rsidR="0071339E" w:rsidRPr="00770E04" w:rsidRDefault="0071339E" w:rsidP="00D02DDE">
      <w:pPr>
        <w:jc w:val="both"/>
        <w:rPr>
          <w:rFonts w:ascii="Times New Roman" w:hAnsi="Times New Roman" w:cs="Arial"/>
          <w:szCs w:val="22"/>
        </w:rPr>
      </w:pPr>
    </w:p>
    <w:p w:rsidR="0071339E" w:rsidRPr="00770E04" w:rsidRDefault="004A26E3" w:rsidP="00D02DDE">
      <w:pPr>
        <w:jc w:val="both"/>
        <w:rPr>
          <w:rFonts w:ascii="Times New Roman" w:hAnsi="Times New Roman" w:cs="Arial"/>
          <w:szCs w:val="22"/>
        </w:rPr>
      </w:pPr>
      <w:r w:rsidRPr="00770E04">
        <w:rPr>
          <w:rFonts w:ascii="Times New Roman" w:hAnsi="Times New Roman" w:cs="Arial"/>
          <w:szCs w:val="22"/>
        </w:rPr>
        <w:t>7</w:t>
      </w:r>
      <w:r w:rsidR="004E10B6" w:rsidRPr="00770E04">
        <w:rPr>
          <w:rFonts w:ascii="Times New Roman" w:hAnsi="Times New Roman" w:cs="Arial"/>
          <w:szCs w:val="22"/>
        </w:rPr>
        <w:t>-</w:t>
      </w:r>
      <w:r w:rsidR="0071339E" w:rsidRPr="00770E04">
        <w:rPr>
          <w:rFonts w:ascii="Times New Roman" w:hAnsi="Times New Roman" w:cs="Arial"/>
          <w:szCs w:val="22"/>
        </w:rPr>
        <w:t xml:space="preserve"> Toutefois, cette législation était doublement discriminatoire à l’égard des femmes marocaines mariées à des non- nationaux : </w:t>
      </w:r>
    </w:p>
    <w:p w:rsidR="0071339E" w:rsidRPr="00770E04" w:rsidRDefault="0071339E" w:rsidP="00D02DDE">
      <w:pPr>
        <w:numPr>
          <w:ilvl w:val="0"/>
          <w:numId w:val="8"/>
        </w:numPr>
        <w:tabs>
          <w:tab w:val="clear" w:pos="360"/>
        </w:tabs>
        <w:spacing w:after="0"/>
        <w:jc w:val="both"/>
        <w:rPr>
          <w:rFonts w:ascii="Times New Roman" w:hAnsi="Times New Roman" w:cs="Arial"/>
          <w:szCs w:val="22"/>
        </w:rPr>
      </w:pPr>
      <w:r w:rsidRPr="00770E04">
        <w:rPr>
          <w:rFonts w:ascii="Times New Roman" w:hAnsi="Times New Roman" w:cs="Arial"/>
          <w:szCs w:val="22"/>
        </w:rPr>
        <w:lastRenderedPageBreak/>
        <w:t>en tant qu’épouses, elles n’avaient pas le droit, à l’opposé des hommes marocains mariés à des non- nationales, de transmettre leur nationalité par le mariage;</w:t>
      </w:r>
    </w:p>
    <w:p w:rsidR="0071339E" w:rsidRPr="00770E04" w:rsidRDefault="0071339E" w:rsidP="00D02DDE">
      <w:pPr>
        <w:numPr>
          <w:ilvl w:val="0"/>
          <w:numId w:val="8"/>
        </w:numPr>
        <w:tabs>
          <w:tab w:val="clear" w:pos="360"/>
        </w:tabs>
        <w:spacing w:after="0"/>
        <w:jc w:val="both"/>
        <w:rPr>
          <w:rFonts w:ascii="Times New Roman" w:hAnsi="Times New Roman" w:cs="Arial"/>
          <w:szCs w:val="22"/>
        </w:rPr>
      </w:pPr>
      <w:r w:rsidRPr="00770E04">
        <w:rPr>
          <w:rFonts w:ascii="Times New Roman" w:hAnsi="Times New Roman" w:cs="Arial"/>
          <w:szCs w:val="22"/>
        </w:rPr>
        <w:t>en tant que mères, elles ne transmettaient pas automatiquement, comme c’est le cas pour les pères, leur nationalité d’origine à leurs enfants. L’enfant ne pouvait acquérir la nationalité de sa mère que s’il est né au Maroc d’un père inconnu ou apatride ou à condition qu’il réside au Maroc et déclare, deux ans avant sa majorité, vouloir l’acquérir.</w:t>
      </w:r>
    </w:p>
    <w:p w:rsidR="0071339E" w:rsidRPr="00770E04" w:rsidRDefault="0071339E" w:rsidP="00D02DDE">
      <w:pPr>
        <w:pStyle w:val="NormalWeb"/>
        <w:spacing w:before="0" w:beforeAutospacing="0" w:after="0" w:afterAutospacing="0"/>
        <w:jc w:val="both"/>
        <w:rPr>
          <w:rFonts w:cs="Arial"/>
          <w:szCs w:val="22"/>
        </w:rPr>
      </w:pPr>
    </w:p>
    <w:p w:rsidR="008A3D41" w:rsidRPr="00770E04" w:rsidRDefault="004A26E3" w:rsidP="00D02DDE">
      <w:pPr>
        <w:jc w:val="both"/>
        <w:rPr>
          <w:rFonts w:ascii="Times New Roman" w:hAnsi="Times New Roman"/>
        </w:rPr>
      </w:pPr>
      <w:r w:rsidRPr="00770E04">
        <w:rPr>
          <w:rFonts w:ascii="Times New Roman" w:hAnsi="Times New Roman" w:cs="Arial"/>
          <w:szCs w:val="22"/>
        </w:rPr>
        <w:t>8</w:t>
      </w:r>
      <w:r w:rsidR="004E10B6" w:rsidRPr="00770E04">
        <w:rPr>
          <w:rFonts w:ascii="Times New Roman" w:hAnsi="Times New Roman" w:cs="Arial"/>
          <w:szCs w:val="22"/>
        </w:rPr>
        <w:t>-</w:t>
      </w:r>
      <w:r w:rsidR="007B144F">
        <w:rPr>
          <w:rFonts w:ascii="Times New Roman" w:hAnsi="Times New Roman" w:cs="Arial"/>
          <w:szCs w:val="22"/>
        </w:rPr>
        <w:t xml:space="preserve"> </w:t>
      </w:r>
      <w:r w:rsidR="008A3D41" w:rsidRPr="00770E04">
        <w:rPr>
          <w:rFonts w:ascii="Times New Roman" w:hAnsi="Times New Roman"/>
        </w:rPr>
        <w:t>La révision du Code de la Nationalité en 2007 accorde finalement le droit, en vertu de son article 6, aux femmes marocaines résidentes au Maroc ou à l’étranger de transmettre automatiquement leur nationalité à leurs enfants avec effet rétroactif, résolvant ainsi de nombreux cas d’apatrid</w:t>
      </w:r>
      <w:r w:rsidR="00364CC9">
        <w:rPr>
          <w:rFonts w:ascii="Times New Roman" w:hAnsi="Times New Roman"/>
        </w:rPr>
        <w:t>i</w:t>
      </w:r>
      <w:r w:rsidR="008A3D41" w:rsidRPr="00770E04">
        <w:rPr>
          <w:rFonts w:ascii="Times New Roman" w:hAnsi="Times New Roman"/>
        </w:rPr>
        <w:t>es. Toutefois, cette disposition ne s’applique qu’aux enfants nés d’une mère marocaine et d’un père étranger mais musulman et marié conformément au Code de la Famille</w:t>
      </w:r>
      <w:r w:rsidR="00364CC9">
        <w:rPr>
          <w:rStyle w:val="FootnoteReference"/>
          <w:rFonts w:ascii="Times New Roman" w:hAnsi="Times New Roman"/>
        </w:rPr>
        <w:footnoteReference w:id="1"/>
      </w:r>
      <w:r w:rsidR="008A3D41" w:rsidRPr="00770E04">
        <w:rPr>
          <w:rFonts w:ascii="Times New Roman" w:hAnsi="Times New Roman"/>
        </w:rPr>
        <w:t>. De plus, lorsque combiné à l’article 2 (“</w:t>
      </w:r>
      <w:r w:rsidR="008A3D41" w:rsidRPr="00770E04">
        <w:rPr>
          <w:rFonts w:ascii="Times New Roman" w:hAnsi="Times New Roman"/>
          <w:i/>
        </w:rPr>
        <w:t>Les dispositions nouvelles relatives à l’attribution de la nationalité marocaine comme nationalité d’origine s’appliquent aux personnes nées avant la date de mise en vigueur de ces dispositions et qui, à cette date, n’avaient pas encore atteint la majorité</w:t>
      </w:r>
      <w:r w:rsidR="008A3D41" w:rsidRPr="00770E04">
        <w:rPr>
          <w:rFonts w:ascii="Times New Roman" w:hAnsi="Times New Roman"/>
        </w:rPr>
        <w:t>”), l’article 6 ne prévoit aucune solution pour les personnes majeures nées d’une mère marocaine.</w:t>
      </w:r>
    </w:p>
    <w:p w:rsidR="00486F93" w:rsidRPr="00770E04" w:rsidRDefault="00486F93" w:rsidP="00D02DDE">
      <w:pPr>
        <w:pStyle w:val="NormalWeb"/>
        <w:spacing w:before="0" w:beforeAutospacing="0" w:after="0" w:afterAutospacing="0"/>
        <w:jc w:val="both"/>
        <w:rPr>
          <w:rFonts w:cs="Arial"/>
          <w:szCs w:val="22"/>
        </w:rPr>
      </w:pPr>
    </w:p>
    <w:p w:rsidR="00486F93" w:rsidRPr="00770E04" w:rsidRDefault="004E10B6" w:rsidP="00D02DDE">
      <w:pPr>
        <w:jc w:val="both"/>
        <w:rPr>
          <w:rFonts w:ascii="Times New Roman" w:hAnsi="Times New Roman" w:cs="Arial"/>
          <w:szCs w:val="22"/>
        </w:rPr>
      </w:pPr>
      <w:r w:rsidRPr="00770E04">
        <w:rPr>
          <w:rFonts w:ascii="Times New Roman" w:hAnsi="Times New Roman" w:cs="Arial"/>
          <w:szCs w:val="22"/>
        </w:rPr>
        <w:t xml:space="preserve">9- </w:t>
      </w:r>
      <w:r w:rsidR="00486F93" w:rsidRPr="00770E04">
        <w:rPr>
          <w:rFonts w:ascii="Times New Roman" w:hAnsi="Times New Roman" w:cs="Arial"/>
          <w:szCs w:val="22"/>
        </w:rPr>
        <w:t>Le texte du code de la nationalité a été adopté par le parlement en dépit des protestations et demandes du mouvement des droits des femmes qui a considéré que, si la révision répondait à un certain nombre de ses demandes et mobilisations, le nouveau code n’était pas conforme aux dispositions des articles 2 et 9 de la CEDEF qui interdisent toute discrimination basée sur le sexe.</w:t>
      </w:r>
    </w:p>
    <w:p w:rsidR="00E4103F" w:rsidRPr="00770E04" w:rsidRDefault="00E4103F" w:rsidP="00D02DDE">
      <w:pPr>
        <w:jc w:val="both"/>
        <w:rPr>
          <w:rFonts w:ascii="Times New Roman" w:hAnsi="Times New Roman" w:cs="Arial"/>
          <w:szCs w:val="22"/>
        </w:rPr>
      </w:pPr>
    </w:p>
    <w:p w:rsidR="00486F93" w:rsidRPr="007B144F" w:rsidRDefault="00486F93" w:rsidP="007B144F">
      <w:pPr>
        <w:pStyle w:val="ListParagraph"/>
        <w:numPr>
          <w:ilvl w:val="0"/>
          <w:numId w:val="13"/>
        </w:numPr>
        <w:jc w:val="both"/>
        <w:rPr>
          <w:rFonts w:ascii="Times New Roman" w:hAnsi="Times New Roman" w:cs="Arial"/>
          <w:b/>
          <w:sz w:val="28"/>
          <w:szCs w:val="28"/>
        </w:rPr>
      </w:pPr>
      <w:r w:rsidRPr="007B144F">
        <w:rPr>
          <w:rFonts w:ascii="Times New Roman" w:hAnsi="Times New Roman" w:cs="Arial"/>
          <w:b/>
          <w:sz w:val="28"/>
          <w:szCs w:val="28"/>
        </w:rPr>
        <w:t xml:space="preserve">Les discriminations maintenues dans le code </w:t>
      </w:r>
      <w:proofErr w:type="spellStart"/>
      <w:r w:rsidRPr="007B144F">
        <w:rPr>
          <w:rFonts w:ascii="Times New Roman" w:hAnsi="Times New Roman" w:cs="Arial"/>
          <w:b/>
          <w:sz w:val="28"/>
          <w:szCs w:val="28"/>
        </w:rPr>
        <w:t>da</w:t>
      </w:r>
      <w:proofErr w:type="spellEnd"/>
      <w:r w:rsidRPr="007B144F">
        <w:rPr>
          <w:rFonts w:ascii="Times New Roman" w:hAnsi="Times New Roman" w:cs="Arial"/>
          <w:b/>
          <w:sz w:val="28"/>
          <w:szCs w:val="28"/>
        </w:rPr>
        <w:t xml:space="preserve"> la nationalité</w:t>
      </w:r>
    </w:p>
    <w:p w:rsidR="00E4103F" w:rsidRPr="00770E04" w:rsidRDefault="00E4103F" w:rsidP="00D02DDE">
      <w:pPr>
        <w:jc w:val="both"/>
        <w:rPr>
          <w:rFonts w:ascii="Times New Roman" w:hAnsi="Times New Roman" w:cs="Arial"/>
          <w:b/>
          <w:sz w:val="28"/>
          <w:szCs w:val="28"/>
        </w:rPr>
      </w:pPr>
    </w:p>
    <w:p w:rsidR="0071339E" w:rsidRPr="00770E04" w:rsidRDefault="004E10B6" w:rsidP="00D02DDE">
      <w:pPr>
        <w:jc w:val="both"/>
        <w:rPr>
          <w:rFonts w:ascii="Times New Roman" w:hAnsi="Times New Roman" w:cs="Arial"/>
          <w:szCs w:val="22"/>
        </w:rPr>
      </w:pPr>
      <w:r w:rsidRPr="00770E04">
        <w:rPr>
          <w:rFonts w:ascii="Times New Roman" w:hAnsi="Times New Roman" w:cs="Arial"/>
          <w:szCs w:val="22"/>
        </w:rPr>
        <w:t>10- L</w:t>
      </w:r>
      <w:r w:rsidR="0071339E" w:rsidRPr="00770E04">
        <w:rPr>
          <w:rFonts w:ascii="Times New Roman" w:hAnsi="Times New Roman" w:cs="Arial"/>
          <w:szCs w:val="22"/>
        </w:rPr>
        <w:t>e code de la nationalité révisé a maintenu la discrimination entre les deux sexes dans la mesure où l’épouse étrangère du marocain peut acquérir la nationalité par le mariage alors que ce droit n’est pas reconnu à l’époux étranger de la marocaine (article 10 du code de la nationalité révisé).</w:t>
      </w:r>
    </w:p>
    <w:p w:rsidR="0082794C" w:rsidRPr="00770E04" w:rsidRDefault="007454A1" w:rsidP="00D02DDE">
      <w:pPr>
        <w:jc w:val="both"/>
        <w:rPr>
          <w:rFonts w:ascii="Times New Roman" w:hAnsi="Times New Roman" w:cs="Arial"/>
          <w:szCs w:val="22"/>
        </w:rPr>
      </w:pPr>
      <w:r w:rsidRPr="00770E04">
        <w:rPr>
          <w:rFonts w:ascii="Times New Roman" w:hAnsi="Times New Roman" w:cs="Arial"/>
          <w:szCs w:val="22"/>
        </w:rPr>
        <w:t>11</w:t>
      </w:r>
      <w:r w:rsidR="004E10B6" w:rsidRPr="00770E04">
        <w:rPr>
          <w:rFonts w:ascii="Times New Roman" w:hAnsi="Times New Roman" w:cs="Arial"/>
          <w:szCs w:val="22"/>
        </w:rPr>
        <w:t>-</w:t>
      </w:r>
      <w:r w:rsidR="0071339E" w:rsidRPr="00770E04">
        <w:rPr>
          <w:rFonts w:ascii="Times New Roman" w:hAnsi="Times New Roman" w:cs="Arial"/>
          <w:szCs w:val="22"/>
        </w:rPr>
        <w:t xml:space="preserve"> Par ailleurs, le code de la nationalité révisé introduit une nouvelle discrimination qui n’existait pas dans l’ancienne législation. En effet, l’article 19 stipule que </w:t>
      </w:r>
      <w:r w:rsidR="0071339E" w:rsidRPr="00770E04">
        <w:rPr>
          <w:rFonts w:ascii="Times New Roman" w:hAnsi="Times New Roman" w:cs="Arial"/>
          <w:i/>
          <w:iCs/>
          <w:szCs w:val="22"/>
        </w:rPr>
        <w:t>« Perd la nationalité marocaine… la femme marocaine qui épousant un étranger, acquiert, du fait de son mariage, la nationalité du mari et a été autorisée par décret préalablement à la conclusion du mariage, à renoncer à la nationalité marocaine»</w:t>
      </w:r>
    </w:p>
    <w:p w:rsidR="00B62546" w:rsidRPr="00770E04" w:rsidRDefault="004E10B6" w:rsidP="00D02DDE">
      <w:pPr>
        <w:jc w:val="both"/>
        <w:rPr>
          <w:rFonts w:ascii="Times New Roman" w:eastAsia="Cambria" w:hAnsi="Times New Roman" w:cs="Times New Roman"/>
        </w:rPr>
      </w:pPr>
      <w:r w:rsidRPr="00770E04">
        <w:rPr>
          <w:rFonts w:ascii="Times New Roman" w:hAnsi="Times New Roman"/>
        </w:rPr>
        <w:t>12-</w:t>
      </w:r>
      <w:r w:rsidR="000814C0" w:rsidRPr="00770E04">
        <w:rPr>
          <w:rFonts w:ascii="Times New Roman" w:hAnsi="Times New Roman"/>
        </w:rPr>
        <w:t xml:space="preserve">D’après le code de la nationalité de 1958, les femmes marocaines en tant qu’épouses, n’avaient pas le droit, contrairement aux hommes marocains mariés à des non-nationales (notons que l’épouse doit être juive ou chrétienne selon l’article 39 du Code de la Famille), de transmettre leur nationalité par voie de mariage. Cette discrimination </w:t>
      </w:r>
      <w:r w:rsidR="009128EE" w:rsidRPr="00770E04">
        <w:rPr>
          <w:rFonts w:ascii="Times New Roman" w:hAnsi="Times New Roman"/>
        </w:rPr>
        <w:t>est</w:t>
      </w:r>
      <w:r w:rsidR="000814C0" w:rsidRPr="00770E04">
        <w:rPr>
          <w:rFonts w:ascii="Times New Roman" w:hAnsi="Times New Roman"/>
        </w:rPr>
        <w:t xml:space="preserve"> maintenu</w:t>
      </w:r>
      <w:r w:rsidR="00364CC9">
        <w:rPr>
          <w:rFonts w:ascii="Times New Roman" w:hAnsi="Times New Roman"/>
        </w:rPr>
        <w:t>e</w:t>
      </w:r>
      <w:r w:rsidR="000814C0" w:rsidRPr="00770E04">
        <w:rPr>
          <w:rFonts w:ascii="Times New Roman" w:hAnsi="Times New Roman"/>
        </w:rPr>
        <w:t xml:space="preserve"> dans </w:t>
      </w:r>
      <w:r w:rsidR="000814C0" w:rsidRPr="00770E04">
        <w:rPr>
          <w:rFonts w:ascii="Times New Roman" w:hAnsi="Times New Roman"/>
        </w:rPr>
        <w:lastRenderedPageBreak/>
        <w:t xml:space="preserve">l’article 10 du Code de la Nationalité révisé en 2007. </w:t>
      </w:r>
      <w:r w:rsidR="00193AF7" w:rsidRPr="00770E04">
        <w:rPr>
          <w:rFonts w:ascii="Times New Roman" w:hAnsi="Times New Roman"/>
        </w:rPr>
        <w:t xml:space="preserve">En effet, ces époux doivent introduire une demande de naturalisation; procédure plus complexe et qui peut rester en instance sans aboutir pendant des années. </w:t>
      </w:r>
      <w:r w:rsidR="00B62546" w:rsidRPr="00770E04">
        <w:rPr>
          <w:rFonts w:ascii="Times New Roman" w:eastAsia="Cambria" w:hAnsi="Times New Roman" w:cs="Times New Roman"/>
        </w:rPr>
        <w:t>Cette situation n'est pas sans gros inconvénients pour la famille puisque le mari étranger est soumis aux conditions posées pour le séjour des étrangers, leur accès sur le territoire, leur droit au travail, et, de manière générale, à toutes les incapacités frappant les étrangers.</w:t>
      </w:r>
    </w:p>
    <w:p w:rsidR="00193AF7" w:rsidRPr="00770E04" w:rsidRDefault="00193AF7" w:rsidP="00D02DDE">
      <w:pPr>
        <w:jc w:val="both"/>
        <w:rPr>
          <w:rFonts w:ascii="Times New Roman" w:hAnsi="Times New Roman"/>
        </w:rPr>
      </w:pPr>
    </w:p>
    <w:p w:rsidR="008A353C" w:rsidRPr="00770E04" w:rsidRDefault="004E10B6" w:rsidP="00D02DDE">
      <w:pPr>
        <w:jc w:val="both"/>
        <w:rPr>
          <w:rFonts w:ascii="Times New Roman" w:hAnsi="Times New Roman"/>
          <w:color w:val="C0504D" w:themeColor="accent2"/>
        </w:rPr>
      </w:pPr>
      <w:r w:rsidRPr="00770E04">
        <w:rPr>
          <w:rFonts w:ascii="Times New Roman" w:hAnsi="Times New Roman"/>
        </w:rPr>
        <w:t>13-</w:t>
      </w:r>
      <w:r w:rsidR="008A353C" w:rsidRPr="00770E04">
        <w:rPr>
          <w:rFonts w:ascii="Times New Roman" w:hAnsi="Times New Roman"/>
        </w:rPr>
        <w:t>Une discrimination de genre s’applique également aux femmes  étrangères épouses d’un maroc</w:t>
      </w:r>
      <w:r w:rsidR="00193AF7" w:rsidRPr="00770E04">
        <w:rPr>
          <w:rFonts w:ascii="Times New Roman" w:hAnsi="Times New Roman"/>
        </w:rPr>
        <w:t>ain en vue d’acquérir la nationalité marocaine</w:t>
      </w:r>
      <w:r w:rsidR="006D2AAE" w:rsidRPr="00770E04">
        <w:rPr>
          <w:rFonts w:ascii="Times New Roman" w:hAnsi="Times New Roman"/>
        </w:rPr>
        <w:t>.</w:t>
      </w:r>
      <w:r w:rsidR="007B144F">
        <w:rPr>
          <w:rFonts w:ascii="Times New Roman" w:hAnsi="Times New Roman"/>
        </w:rPr>
        <w:t xml:space="preserve"> </w:t>
      </w:r>
      <w:r w:rsidR="00193AF7" w:rsidRPr="00770E04">
        <w:rPr>
          <w:rFonts w:ascii="Times New Roman" w:eastAsia="Cambria" w:hAnsi="Times New Roman" w:cs="Times New Roman"/>
        </w:rPr>
        <w:t xml:space="preserve">En effet, le code de 1958 prévoyait que la femme étrangère qui  a épousé un marocain pouvait, après une résidence habituelle et régulière au Maroc du ménage depuis deux ans au moins, souscrire une déclaration adressée au ministre de la justice en vue d'acquérir la nationalité marocaine (article 10). Si le </w:t>
      </w:r>
      <w:r w:rsidR="000A6834" w:rsidRPr="00770E04">
        <w:rPr>
          <w:rFonts w:ascii="Times New Roman" w:eastAsia="Cambria" w:hAnsi="Times New Roman" w:cs="Times New Roman"/>
        </w:rPr>
        <w:t>ministre</w:t>
      </w:r>
      <w:r w:rsidR="00193AF7" w:rsidRPr="00770E04">
        <w:rPr>
          <w:rFonts w:ascii="Times New Roman" w:eastAsia="Cambria" w:hAnsi="Times New Roman" w:cs="Times New Roman"/>
        </w:rPr>
        <w:t xml:space="preserve"> ne s’était pas opposé à la décl</w:t>
      </w:r>
      <w:r w:rsidR="00165077" w:rsidRPr="00770E04">
        <w:rPr>
          <w:rFonts w:ascii="Times New Roman" w:eastAsia="Cambria" w:hAnsi="Times New Roman" w:cs="Times New Roman"/>
        </w:rPr>
        <w:t>aration au bout de six mois, l’absence de réponse</w:t>
      </w:r>
      <w:r w:rsidR="00193AF7" w:rsidRPr="00770E04">
        <w:rPr>
          <w:rFonts w:ascii="Times New Roman" w:eastAsia="Cambria" w:hAnsi="Times New Roman" w:cs="Times New Roman"/>
        </w:rPr>
        <w:t xml:space="preserve"> valait acquisition de la nationalité. </w:t>
      </w:r>
      <w:r w:rsidR="00165077" w:rsidRPr="00770E04">
        <w:rPr>
          <w:rFonts w:ascii="Times New Roman" w:eastAsia="Cambria" w:hAnsi="Times New Roman" w:cs="Times New Roman"/>
        </w:rPr>
        <w:t xml:space="preserve">La réforme de 2007 introduit une difficulté et une discrimination de fait pour ces cas en augmentant la résidence habituelle et régulière au Maroc à 5 années, ainsi qu’en statuant que </w:t>
      </w:r>
      <w:r w:rsidR="00D45C54">
        <w:rPr>
          <w:rFonts w:ascii="Times New Roman" w:eastAsia="Cambria" w:hAnsi="Times New Roman" w:cs="Times New Roman"/>
        </w:rPr>
        <w:t>la non-</w:t>
      </w:r>
      <w:r w:rsidR="00165077" w:rsidRPr="00770E04">
        <w:rPr>
          <w:rFonts w:ascii="Times New Roman" w:eastAsia="Cambria" w:hAnsi="Times New Roman" w:cs="Times New Roman"/>
        </w:rPr>
        <w:t xml:space="preserve">réponse du ministre de la justice au bout de 6 mois équivaut cette fois à un refus. </w:t>
      </w:r>
    </w:p>
    <w:p w:rsidR="00457218" w:rsidRPr="00770E04" w:rsidRDefault="004E10B6" w:rsidP="00D02DDE">
      <w:pPr>
        <w:jc w:val="both"/>
        <w:rPr>
          <w:rFonts w:ascii="Times New Roman" w:hAnsi="Times New Roman"/>
        </w:rPr>
      </w:pPr>
      <w:r w:rsidRPr="00770E04">
        <w:rPr>
          <w:rFonts w:ascii="Times New Roman" w:hAnsi="Times New Roman"/>
        </w:rPr>
        <w:t>14-</w:t>
      </w:r>
      <w:r w:rsidR="00457218" w:rsidRPr="00770E04">
        <w:rPr>
          <w:rFonts w:ascii="Times New Roman" w:hAnsi="Times New Roman"/>
        </w:rPr>
        <w:t>Notons également qu’une femme d’une autre religion que juive ou chrétienne ne peut hériter de son époux marocain, son mariage n’étant pas reconnu par la loi. Ses enfants non plus. Tel qu’indiqué dans l’article 332 du Code de la Famille “</w:t>
      </w:r>
      <w:r w:rsidR="00457218" w:rsidRPr="00770E04">
        <w:rPr>
          <w:rFonts w:ascii="Times New Roman" w:hAnsi="Times New Roman"/>
          <w:i/>
        </w:rPr>
        <w:t>Il n’y a ni successibilité entre un musulman et un non-musulman, ni dans le cas où la filiation paternelle est désavouée</w:t>
      </w:r>
      <w:r w:rsidR="00457218" w:rsidRPr="00770E04">
        <w:rPr>
          <w:rFonts w:ascii="Times New Roman" w:hAnsi="Times New Roman"/>
        </w:rPr>
        <w:t xml:space="preserve">”. Les seuls recours possibles sont donc la conversion à l’islam, le testament ou la donation. </w:t>
      </w:r>
    </w:p>
    <w:p w:rsidR="00290070" w:rsidRPr="00770E04" w:rsidRDefault="00290070" w:rsidP="00D02DDE">
      <w:pPr>
        <w:jc w:val="both"/>
        <w:rPr>
          <w:rFonts w:ascii="Times New Roman" w:hAnsi="Times New Roman"/>
        </w:rPr>
      </w:pPr>
    </w:p>
    <w:p w:rsidR="00A209D9" w:rsidRPr="00770E04" w:rsidRDefault="007454A1" w:rsidP="00D02DDE">
      <w:pPr>
        <w:jc w:val="both"/>
        <w:rPr>
          <w:rFonts w:ascii="Times New Roman" w:hAnsi="Times New Roman"/>
          <w:b/>
          <w:sz w:val="28"/>
          <w:szCs w:val="28"/>
        </w:rPr>
      </w:pPr>
      <w:r w:rsidRPr="00770E04">
        <w:rPr>
          <w:rFonts w:ascii="Times New Roman" w:hAnsi="Times New Roman"/>
          <w:b/>
          <w:sz w:val="28"/>
          <w:szCs w:val="28"/>
        </w:rPr>
        <w:t>C</w:t>
      </w:r>
      <w:r w:rsidRPr="00770E04">
        <w:rPr>
          <w:rFonts w:ascii="Times New Roman" w:hAnsi="Times New Roman"/>
          <w:sz w:val="28"/>
          <w:szCs w:val="28"/>
        </w:rPr>
        <w:t>-</w:t>
      </w:r>
      <w:r w:rsidR="000A6834">
        <w:rPr>
          <w:rFonts w:ascii="Times New Roman" w:hAnsi="Times New Roman"/>
          <w:sz w:val="28"/>
          <w:szCs w:val="28"/>
        </w:rPr>
        <w:t xml:space="preserve"> </w:t>
      </w:r>
      <w:r w:rsidR="00290070" w:rsidRPr="00770E04">
        <w:rPr>
          <w:rFonts w:ascii="Times New Roman" w:hAnsi="Times New Roman"/>
          <w:b/>
          <w:sz w:val="28"/>
          <w:szCs w:val="28"/>
        </w:rPr>
        <w:t>Les bonnes pratiques du Maroc et autres mesures visant à éliminer la discrimination à l’égard des femmes et à réduire/éviter le phénomène de l’apatrid</w:t>
      </w:r>
      <w:r w:rsidR="00D45C54">
        <w:rPr>
          <w:rFonts w:ascii="Times New Roman" w:hAnsi="Times New Roman"/>
          <w:b/>
          <w:sz w:val="28"/>
          <w:szCs w:val="28"/>
        </w:rPr>
        <w:t>i</w:t>
      </w:r>
      <w:r w:rsidR="00290070" w:rsidRPr="00770E04">
        <w:rPr>
          <w:rFonts w:ascii="Times New Roman" w:hAnsi="Times New Roman"/>
          <w:b/>
          <w:sz w:val="28"/>
          <w:szCs w:val="28"/>
        </w:rPr>
        <w:t>e</w:t>
      </w:r>
    </w:p>
    <w:p w:rsidR="006D2AAE" w:rsidRPr="00770E04" w:rsidRDefault="004B0543" w:rsidP="00D02DDE">
      <w:pPr>
        <w:jc w:val="both"/>
        <w:rPr>
          <w:rFonts w:ascii="Times New Roman" w:hAnsi="Times New Roman"/>
        </w:rPr>
      </w:pPr>
      <w:r w:rsidRPr="00770E04">
        <w:rPr>
          <w:rFonts w:ascii="Times New Roman" w:hAnsi="Times New Roman"/>
        </w:rPr>
        <w:t>15.</w:t>
      </w:r>
      <w:r w:rsidR="007B144F">
        <w:rPr>
          <w:rFonts w:ascii="Times New Roman" w:hAnsi="Times New Roman"/>
        </w:rPr>
        <w:t xml:space="preserve"> </w:t>
      </w:r>
      <w:r w:rsidR="006D2AAE" w:rsidRPr="00770E04">
        <w:rPr>
          <w:rFonts w:ascii="Times New Roman" w:hAnsi="Times New Roman"/>
        </w:rPr>
        <w:t>La réforme de 2007 introduit une avancée en accordant, dans le 2</w:t>
      </w:r>
      <w:r w:rsidR="006D2AAE" w:rsidRPr="00770E04">
        <w:rPr>
          <w:rFonts w:ascii="Times New Roman" w:hAnsi="Times New Roman"/>
          <w:vertAlign w:val="superscript"/>
        </w:rPr>
        <w:t>e</w:t>
      </w:r>
      <w:r w:rsidR="006D2AAE" w:rsidRPr="00770E04">
        <w:rPr>
          <w:rFonts w:ascii="Times New Roman" w:hAnsi="Times New Roman"/>
        </w:rPr>
        <w:t xml:space="preserve"> paragraphe de son article 9, la nationalité marocaine par la </w:t>
      </w:r>
      <w:proofErr w:type="spellStart"/>
      <w:r w:rsidR="006D2AAE" w:rsidRPr="00770E04">
        <w:rPr>
          <w:rFonts w:ascii="Times New Roman" w:hAnsi="Times New Roman"/>
        </w:rPr>
        <w:t>Kafala</w:t>
      </w:r>
      <w:proofErr w:type="spellEnd"/>
      <w:r w:rsidR="006D2AAE" w:rsidRPr="00770E04">
        <w:rPr>
          <w:rFonts w:ascii="Times New Roman" w:hAnsi="Times New Roman"/>
        </w:rPr>
        <w:t xml:space="preserve"> (prise en charge par un couple ou une femme d’un enfant né de parents inconnus, de père inconnu et abandonné par sa mère et tout enfant de parents de mauvaise conduite ou démunis), solutionnant donc d’autres cas d’apatridie. Les droits de succession et de filiation ne sont par contre toujours pas accordés aux personnes concernées. </w:t>
      </w:r>
    </w:p>
    <w:p w:rsidR="007454A1" w:rsidRPr="00770E04" w:rsidRDefault="004B0543" w:rsidP="007B144F">
      <w:pPr>
        <w:autoSpaceDE w:val="0"/>
        <w:autoSpaceDN w:val="0"/>
        <w:adjustRightInd w:val="0"/>
        <w:spacing w:after="120"/>
        <w:jc w:val="both"/>
        <w:rPr>
          <w:rFonts w:ascii="Times New Roman" w:eastAsia="Times New Roman" w:hAnsi="Times New Roman" w:cs="Traditional Arabic"/>
          <w:lang w:eastAsia="fr-FR" w:bidi="ar-MA"/>
        </w:rPr>
      </w:pPr>
      <w:r w:rsidRPr="00770E04">
        <w:rPr>
          <w:rFonts w:ascii="Times New Roman" w:eastAsia="Times New Roman" w:hAnsi="Times New Roman" w:cs="Traditional Arabic"/>
          <w:lang w:eastAsia="fr-FR" w:bidi="ar-MA"/>
        </w:rPr>
        <w:t>16.</w:t>
      </w:r>
      <w:r w:rsidR="007B144F">
        <w:rPr>
          <w:rFonts w:ascii="Times New Roman" w:eastAsia="Times New Roman" w:hAnsi="Times New Roman" w:cs="Traditional Arabic"/>
          <w:lang w:eastAsia="fr-FR" w:bidi="ar-MA"/>
        </w:rPr>
        <w:t xml:space="preserve"> </w:t>
      </w:r>
      <w:r w:rsidR="007454A1" w:rsidRPr="00770E04">
        <w:rPr>
          <w:rFonts w:ascii="Times New Roman" w:eastAsia="Times New Roman" w:hAnsi="Times New Roman" w:cs="Traditional Arabic"/>
          <w:lang w:eastAsia="fr-FR" w:bidi="ar-MA"/>
        </w:rPr>
        <w:t>Les tribunaux de première instance ont  mis en place une structure chargée de traiter les demandes en matière de nationalité et faciliter les démarches pour les femmes et les enfants.</w:t>
      </w:r>
    </w:p>
    <w:p w:rsidR="00290070" w:rsidRPr="00770E04" w:rsidRDefault="004B0543" w:rsidP="007B144F">
      <w:pPr>
        <w:jc w:val="both"/>
        <w:rPr>
          <w:rFonts w:ascii="Times New Roman" w:hAnsi="Times New Roman"/>
        </w:rPr>
      </w:pPr>
      <w:r w:rsidRPr="00770E04">
        <w:rPr>
          <w:rFonts w:ascii="Times New Roman" w:hAnsi="Times New Roman"/>
        </w:rPr>
        <w:t>17.</w:t>
      </w:r>
      <w:r w:rsidR="006D2AAE" w:rsidRPr="00770E04">
        <w:rPr>
          <w:rFonts w:ascii="Times New Roman" w:hAnsi="Times New Roman"/>
        </w:rPr>
        <w:t xml:space="preserve">L’adoption toute récente du protocole facultatif de la CEDAW par le Maroc constitue une avancée </w:t>
      </w:r>
      <w:proofErr w:type="spellStart"/>
      <w:r w:rsidR="006D2AAE" w:rsidRPr="00770E04">
        <w:rPr>
          <w:rFonts w:ascii="Times New Roman" w:hAnsi="Times New Roman"/>
        </w:rPr>
        <w:t>saluable</w:t>
      </w:r>
      <w:proofErr w:type="spellEnd"/>
      <w:r w:rsidR="006D2AAE" w:rsidRPr="00770E04">
        <w:rPr>
          <w:rFonts w:ascii="Times New Roman" w:hAnsi="Times New Roman"/>
        </w:rPr>
        <w:t xml:space="preserve"> (les particuliers ou groupes de particuliers pourront désormais porter plainte auprès du Comité pour l’élimination de la discrimination à l’égard des femmes en cas de violation des droits énoncés dans la convention) mais risque d’être limitée puisque les plaintes ne peuvent concerner les éléments de la Convention sur lesquels le Maroc a émis des réserves. </w:t>
      </w:r>
    </w:p>
    <w:p w:rsidR="00E4103F" w:rsidRPr="00770E04" w:rsidRDefault="00E4103F" w:rsidP="00D02DDE">
      <w:pPr>
        <w:jc w:val="both"/>
        <w:rPr>
          <w:rFonts w:ascii="Times New Roman" w:hAnsi="Times New Roman"/>
        </w:rPr>
      </w:pPr>
    </w:p>
    <w:p w:rsidR="0025302C" w:rsidRPr="00770E04" w:rsidRDefault="00290070" w:rsidP="007B144F">
      <w:pPr>
        <w:pStyle w:val="ListParagraph"/>
        <w:numPr>
          <w:ilvl w:val="0"/>
          <w:numId w:val="10"/>
        </w:numPr>
        <w:ind w:left="426" w:hanging="426"/>
        <w:jc w:val="both"/>
        <w:rPr>
          <w:rFonts w:ascii="Times New Roman" w:hAnsi="Times New Roman"/>
          <w:b/>
          <w:sz w:val="28"/>
          <w:szCs w:val="28"/>
        </w:rPr>
      </w:pPr>
      <w:r w:rsidRPr="00770E04">
        <w:rPr>
          <w:rFonts w:ascii="Times New Roman" w:hAnsi="Times New Roman"/>
          <w:b/>
          <w:sz w:val="28"/>
          <w:szCs w:val="28"/>
        </w:rPr>
        <w:t xml:space="preserve">Le rôle joué par les </w:t>
      </w:r>
      <w:r w:rsidR="00457218" w:rsidRPr="00770E04">
        <w:rPr>
          <w:rFonts w:ascii="Times New Roman" w:hAnsi="Times New Roman"/>
          <w:b/>
          <w:sz w:val="28"/>
          <w:szCs w:val="28"/>
        </w:rPr>
        <w:t>associations dans la révision du Code de la Nationalité</w:t>
      </w:r>
    </w:p>
    <w:p w:rsidR="00E4103F" w:rsidRPr="00770E04" w:rsidRDefault="00E4103F" w:rsidP="00E4103F">
      <w:pPr>
        <w:pStyle w:val="ListParagraph"/>
        <w:jc w:val="both"/>
        <w:rPr>
          <w:rFonts w:ascii="Times New Roman" w:hAnsi="Times New Roman"/>
          <w:b/>
          <w:sz w:val="28"/>
          <w:szCs w:val="28"/>
        </w:rPr>
      </w:pPr>
    </w:p>
    <w:p w:rsidR="000671FA" w:rsidRPr="00770E04" w:rsidRDefault="004B0543" w:rsidP="00D02DDE">
      <w:pPr>
        <w:jc w:val="both"/>
        <w:rPr>
          <w:rFonts w:ascii="Times New Roman" w:hAnsi="Times New Roman"/>
        </w:rPr>
      </w:pPr>
      <w:r w:rsidRPr="00770E04">
        <w:rPr>
          <w:rFonts w:ascii="Times New Roman" w:hAnsi="Times New Roman"/>
        </w:rPr>
        <w:t>18.</w:t>
      </w:r>
      <w:r w:rsidR="002B7040" w:rsidRPr="00770E04">
        <w:rPr>
          <w:rFonts w:ascii="Times New Roman" w:hAnsi="Times New Roman"/>
        </w:rPr>
        <w:t xml:space="preserve"> Dans le cadre du réseau régional “Transmettre ma nationalité est un droit pour mes enfants”, l’Association Démocratique des Femmes du Maroc (ADFM) a mené, de décembre 2001 à mars 2007, en partenariat avec un réseau d’associations de défense des droits de l’homme et des femmes au niveau national et régional, une campagne de plaidoyer visant à faire réviser le code de la nationalité promulgué en 1958 qui privait les enfants des marocaines mariées à des étrangers, de la nationalité de leur mère. </w:t>
      </w:r>
      <w:r w:rsidR="000671FA" w:rsidRPr="00770E04">
        <w:rPr>
          <w:rFonts w:ascii="Times New Roman" w:hAnsi="Times New Roman"/>
        </w:rPr>
        <w:t>Actions principales de cette campagne:</w:t>
      </w:r>
    </w:p>
    <w:p w:rsidR="00964BBE" w:rsidRPr="00770E04" w:rsidRDefault="00964BBE" w:rsidP="00D02DDE">
      <w:pPr>
        <w:pStyle w:val="ListParagraph"/>
        <w:numPr>
          <w:ilvl w:val="0"/>
          <w:numId w:val="7"/>
        </w:numPr>
        <w:jc w:val="both"/>
        <w:rPr>
          <w:rFonts w:ascii="Times New Roman" w:hAnsi="Times New Roman"/>
        </w:rPr>
      </w:pPr>
      <w:r w:rsidRPr="00770E04">
        <w:rPr>
          <w:rFonts w:ascii="Times New Roman" w:hAnsi="Times New Roman"/>
        </w:rPr>
        <w:t xml:space="preserve">En 2002, </w:t>
      </w:r>
      <w:r w:rsidR="000671FA" w:rsidRPr="00770E04">
        <w:rPr>
          <w:rFonts w:ascii="Times New Roman" w:hAnsi="Times New Roman"/>
        </w:rPr>
        <w:t>constitution d’un groupe de travail</w:t>
      </w:r>
      <w:r w:rsidRPr="00770E04">
        <w:rPr>
          <w:rFonts w:ascii="Times New Roman" w:hAnsi="Times New Roman"/>
        </w:rPr>
        <w:t xml:space="preserve"> formé, entre autres, par des femmes victimes de cette discrimination;</w:t>
      </w:r>
    </w:p>
    <w:p w:rsidR="00964BBE" w:rsidRPr="00770E04" w:rsidRDefault="009128EE" w:rsidP="00D02DDE">
      <w:pPr>
        <w:pStyle w:val="ListParagraph"/>
        <w:numPr>
          <w:ilvl w:val="0"/>
          <w:numId w:val="7"/>
        </w:numPr>
        <w:jc w:val="both"/>
        <w:rPr>
          <w:rFonts w:ascii="Times New Roman" w:hAnsi="Times New Roman"/>
        </w:rPr>
      </w:pPr>
      <w:r w:rsidRPr="00770E04">
        <w:rPr>
          <w:rFonts w:ascii="Times New Roman" w:hAnsi="Times New Roman"/>
        </w:rPr>
        <w:t>Elaboration</w:t>
      </w:r>
      <w:r w:rsidR="007B144F">
        <w:rPr>
          <w:rFonts w:ascii="Times New Roman" w:hAnsi="Times New Roman"/>
        </w:rPr>
        <w:t xml:space="preserve"> </w:t>
      </w:r>
      <w:r w:rsidRPr="00770E04">
        <w:rPr>
          <w:rFonts w:ascii="Times New Roman" w:hAnsi="Times New Roman"/>
        </w:rPr>
        <w:t xml:space="preserve">d’une </w:t>
      </w:r>
      <w:r w:rsidR="00964BBE" w:rsidRPr="00770E04">
        <w:rPr>
          <w:rFonts w:ascii="Times New Roman" w:hAnsi="Times New Roman"/>
        </w:rPr>
        <w:t xml:space="preserve"> étude juridique et sociologique dans le cadre d</w:t>
      </w:r>
      <w:r w:rsidR="004B27B3" w:rsidRPr="00770E04">
        <w:rPr>
          <w:rFonts w:ascii="Times New Roman" w:hAnsi="Times New Roman"/>
        </w:rPr>
        <w:t>’une dynamique régionale (</w:t>
      </w:r>
      <w:proofErr w:type="spellStart"/>
      <w:r w:rsidR="004B27B3" w:rsidRPr="00770E04">
        <w:rPr>
          <w:rFonts w:ascii="Times New Roman" w:hAnsi="Times New Roman"/>
        </w:rPr>
        <w:t>Glip</w:t>
      </w:r>
      <w:proofErr w:type="spellEnd"/>
      <w:r w:rsidR="004B27B3" w:rsidRPr="00770E04">
        <w:rPr>
          <w:rFonts w:ascii="Times New Roman" w:hAnsi="Times New Roman"/>
        </w:rPr>
        <w:t>);</w:t>
      </w:r>
    </w:p>
    <w:p w:rsidR="00964BBE" w:rsidRPr="00770E04" w:rsidRDefault="00964BBE" w:rsidP="00D02DDE">
      <w:pPr>
        <w:pStyle w:val="ListParagraph"/>
        <w:numPr>
          <w:ilvl w:val="0"/>
          <w:numId w:val="7"/>
        </w:numPr>
        <w:jc w:val="both"/>
        <w:rPr>
          <w:rFonts w:ascii="Times New Roman" w:hAnsi="Times New Roman"/>
        </w:rPr>
      </w:pPr>
      <w:r w:rsidRPr="00770E04">
        <w:rPr>
          <w:rFonts w:ascii="Times New Roman" w:hAnsi="Times New Roman"/>
        </w:rPr>
        <w:t>Coordination et concertation inter-associative (ONG de femmes, droits humains,...)</w:t>
      </w:r>
      <w:r w:rsidR="004B27B3" w:rsidRPr="00770E04">
        <w:rPr>
          <w:rFonts w:ascii="Times New Roman" w:hAnsi="Times New Roman"/>
        </w:rPr>
        <w:t>;</w:t>
      </w:r>
    </w:p>
    <w:p w:rsidR="00964BBE" w:rsidRPr="00770E04" w:rsidRDefault="00964BBE" w:rsidP="00D02DDE">
      <w:pPr>
        <w:pStyle w:val="ListParagraph"/>
        <w:numPr>
          <w:ilvl w:val="0"/>
          <w:numId w:val="7"/>
        </w:numPr>
        <w:jc w:val="both"/>
        <w:rPr>
          <w:rFonts w:ascii="Times New Roman" w:hAnsi="Times New Roman"/>
        </w:rPr>
      </w:pPr>
      <w:r w:rsidRPr="00770E04">
        <w:rPr>
          <w:rFonts w:ascii="Times New Roman" w:hAnsi="Times New Roman"/>
        </w:rPr>
        <w:t>Organisation d’une campagne de plaidoyer, soutenue dans le temps et ciblan</w:t>
      </w:r>
      <w:r w:rsidR="00D45C54">
        <w:rPr>
          <w:rFonts w:ascii="Times New Roman" w:hAnsi="Times New Roman"/>
        </w:rPr>
        <w:t xml:space="preserve">t: le gouvernement, </w:t>
      </w:r>
      <w:r w:rsidR="009128EE" w:rsidRPr="00770E04">
        <w:rPr>
          <w:rFonts w:ascii="Times New Roman" w:hAnsi="Times New Roman"/>
        </w:rPr>
        <w:t>la justice</w:t>
      </w:r>
      <w:r w:rsidRPr="00770E04">
        <w:rPr>
          <w:rFonts w:ascii="Times New Roman" w:hAnsi="Times New Roman"/>
        </w:rPr>
        <w:t>, les groupes parlem</w:t>
      </w:r>
      <w:r w:rsidR="00D45C54">
        <w:rPr>
          <w:rFonts w:ascii="Times New Roman" w:hAnsi="Times New Roman"/>
        </w:rPr>
        <w:t>entaires et</w:t>
      </w:r>
      <w:r w:rsidR="004B27B3" w:rsidRPr="00770E04">
        <w:rPr>
          <w:rFonts w:ascii="Times New Roman" w:hAnsi="Times New Roman"/>
        </w:rPr>
        <w:t xml:space="preserve"> les partis politiques;</w:t>
      </w:r>
    </w:p>
    <w:p w:rsidR="004B27B3" w:rsidRPr="00770E04" w:rsidRDefault="00964BBE" w:rsidP="00D02DDE">
      <w:pPr>
        <w:pStyle w:val="ListParagraph"/>
        <w:numPr>
          <w:ilvl w:val="0"/>
          <w:numId w:val="7"/>
        </w:numPr>
        <w:jc w:val="both"/>
        <w:rPr>
          <w:rFonts w:ascii="Times New Roman" w:hAnsi="Times New Roman"/>
        </w:rPr>
      </w:pPr>
      <w:r w:rsidRPr="00770E04">
        <w:rPr>
          <w:rFonts w:ascii="Times New Roman" w:hAnsi="Times New Roman"/>
        </w:rPr>
        <w:t xml:space="preserve">Organisation d’une campagne de sensibilisation grand public </w:t>
      </w:r>
      <w:r w:rsidR="004A26E3" w:rsidRPr="00770E04">
        <w:rPr>
          <w:rFonts w:ascii="Times New Roman" w:hAnsi="Times New Roman"/>
        </w:rPr>
        <w:t>à travers la presse écrite, radio, et cha</w:t>
      </w:r>
      <w:r w:rsidR="00D45C54">
        <w:rPr>
          <w:rFonts w:ascii="Times New Roman" w:hAnsi="Times New Roman"/>
        </w:rPr>
        <w:t>î</w:t>
      </w:r>
      <w:r w:rsidR="004A26E3" w:rsidRPr="00770E04">
        <w:rPr>
          <w:rFonts w:ascii="Times New Roman" w:hAnsi="Times New Roman"/>
        </w:rPr>
        <w:t xml:space="preserve">nes de télévisions </w:t>
      </w:r>
      <w:r w:rsidRPr="00770E04">
        <w:rPr>
          <w:rFonts w:ascii="Times New Roman" w:hAnsi="Times New Roman"/>
        </w:rPr>
        <w:t>pour faire connaître le phénomène à travers la vulgarisation de l’étude et la pré</w:t>
      </w:r>
      <w:r w:rsidR="004A26E3" w:rsidRPr="00770E04">
        <w:rPr>
          <w:rFonts w:ascii="Times New Roman" w:hAnsi="Times New Roman"/>
        </w:rPr>
        <w:t xml:space="preserve">sentation de témoignages </w:t>
      </w:r>
      <w:r w:rsidRPr="00770E04">
        <w:rPr>
          <w:rFonts w:ascii="Times New Roman" w:hAnsi="Times New Roman"/>
        </w:rPr>
        <w:t xml:space="preserve"> (femmes et enfants)</w:t>
      </w:r>
      <w:r w:rsidR="004B27B3" w:rsidRPr="00770E04">
        <w:rPr>
          <w:rFonts w:ascii="Times New Roman" w:hAnsi="Times New Roman"/>
        </w:rPr>
        <w:t>.</w:t>
      </w:r>
    </w:p>
    <w:p w:rsidR="00F37D2B" w:rsidRPr="00770E04" w:rsidRDefault="00F37D2B" w:rsidP="00D02DDE">
      <w:pPr>
        <w:pStyle w:val="ListParagraph"/>
        <w:jc w:val="both"/>
        <w:rPr>
          <w:rFonts w:ascii="Times New Roman" w:hAnsi="Times New Roman"/>
        </w:rPr>
      </w:pPr>
    </w:p>
    <w:p w:rsidR="00F37D2B" w:rsidRPr="00770E04" w:rsidRDefault="004B0543" w:rsidP="00D02DDE">
      <w:pPr>
        <w:jc w:val="both"/>
        <w:rPr>
          <w:rFonts w:ascii="Times New Roman" w:hAnsi="Times New Roman"/>
        </w:rPr>
      </w:pPr>
      <w:r w:rsidRPr="00770E04">
        <w:rPr>
          <w:rFonts w:ascii="Times New Roman" w:hAnsi="Times New Roman"/>
        </w:rPr>
        <w:t>19.</w:t>
      </w:r>
      <w:r w:rsidR="004E10B6" w:rsidRPr="00770E04">
        <w:rPr>
          <w:rFonts w:ascii="Times New Roman" w:hAnsi="Times New Roman"/>
        </w:rPr>
        <w:t xml:space="preserve"> U</w:t>
      </w:r>
      <w:r w:rsidR="004A26E3" w:rsidRPr="00770E04">
        <w:rPr>
          <w:rFonts w:ascii="Times New Roman" w:hAnsi="Times New Roman"/>
        </w:rPr>
        <w:t>ne c</w:t>
      </w:r>
      <w:r w:rsidR="00F37D2B" w:rsidRPr="00770E04">
        <w:rPr>
          <w:rFonts w:ascii="Times New Roman" w:hAnsi="Times New Roman"/>
        </w:rPr>
        <w:t>ampagne régionale pour le droit des femmes arabes à transmettre leur nationalité à leurs enfants et époux</w:t>
      </w:r>
      <w:r w:rsidR="004E10B6" w:rsidRPr="00770E04">
        <w:rPr>
          <w:rFonts w:ascii="Times New Roman" w:hAnsi="Times New Roman"/>
        </w:rPr>
        <w:t xml:space="preserve"> a été organisée;</w:t>
      </w:r>
      <w:r w:rsidR="00F37D2B" w:rsidRPr="00770E04">
        <w:rPr>
          <w:rFonts w:ascii="Times New Roman" w:hAnsi="Times New Roman"/>
        </w:rPr>
        <w:t xml:space="preserve"> « Notre nationalité est notre droit et celui de nos familles ». Cette campagne </w:t>
      </w:r>
      <w:proofErr w:type="spellStart"/>
      <w:r w:rsidR="00F37D2B" w:rsidRPr="00770E04">
        <w:rPr>
          <w:rFonts w:ascii="Times New Roman" w:hAnsi="Times New Roman"/>
        </w:rPr>
        <w:t>à</w:t>
      </w:r>
      <w:proofErr w:type="spellEnd"/>
      <w:r w:rsidR="00F37D2B" w:rsidRPr="00770E04">
        <w:rPr>
          <w:rFonts w:ascii="Times New Roman" w:hAnsi="Times New Roman"/>
        </w:rPr>
        <w:t xml:space="preserve"> été initiée simultanément et en coordination entre des ONG des droits des femmes appartenant à plusieurs pays arabes à partir de 2003 (Jordanie, Yémen, Bahreïn, Syrie, Liban, Egypte, Algérie et Maroc). </w:t>
      </w:r>
    </w:p>
    <w:p w:rsidR="007454A1" w:rsidRPr="00770E04" w:rsidRDefault="004B0543" w:rsidP="00D02DDE">
      <w:pPr>
        <w:jc w:val="both"/>
        <w:rPr>
          <w:rFonts w:ascii="Times New Roman" w:hAnsi="Times New Roman"/>
        </w:rPr>
      </w:pPr>
      <w:r w:rsidRPr="00770E04">
        <w:rPr>
          <w:rFonts w:ascii="Times New Roman" w:hAnsi="Times New Roman"/>
        </w:rPr>
        <w:t>20.</w:t>
      </w:r>
      <w:r w:rsidR="004E10B6" w:rsidRPr="00770E04">
        <w:rPr>
          <w:rFonts w:ascii="Times New Roman" w:hAnsi="Times New Roman"/>
        </w:rPr>
        <w:t xml:space="preserve"> Dè</w:t>
      </w:r>
      <w:r w:rsidR="007454A1" w:rsidRPr="00770E04">
        <w:rPr>
          <w:rFonts w:ascii="Times New Roman" w:hAnsi="Times New Roman"/>
        </w:rPr>
        <w:t>s l</w:t>
      </w:r>
      <w:r w:rsidR="00D45C54">
        <w:rPr>
          <w:rFonts w:ascii="Times New Roman" w:hAnsi="Times New Roman"/>
        </w:rPr>
        <w:t xml:space="preserve">’adoption du nouveau code de </w:t>
      </w:r>
      <w:r w:rsidR="007454A1" w:rsidRPr="00770E04">
        <w:rPr>
          <w:rFonts w:ascii="Times New Roman" w:hAnsi="Times New Roman"/>
        </w:rPr>
        <w:t>nat</w:t>
      </w:r>
      <w:r w:rsidR="004E10B6" w:rsidRPr="00770E04">
        <w:rPr>
          <w:rFonts w:ascii="Times New Roman" w:hAnsi="Times New Roman"/>
        </w:rPr>
        <w:t>ionalité</w:t>
      </w:r>
      <w:r w:rsidR="007454A1" w:rsidRPr="00770E04">
        <w:rPr>
          <w:rFonts w:ascii="Times New Roman" w:hAnsi="Times New Roman"/>
        </w:rPr>
        <w:t>,</w:t>
      </w:r>
      <w:r w:rsidR="007B144F">
        <w:rPr>
          <w:rFonts w:ascii="Times New Roman" w:hAnsi="Times New Roman"/>
        </w:rPr>
        <w:t xml:space="preserve"> </w:t>
      </w:r>
      <w:r w:rsidR="007454A1" w:rsidRPr="00770E04">
        <w:rPr>
          <w:rFonts w:ascii="Times New Roman" w:hAnsi="Times New Roman"/>
        </w:rPr>
        <w:t xml:space="preserve">l’association démocratique des femmes du Maroc a organisé des ateliers de sensibilisation </w:t>
      </w:r>
      <w:r w:rsidR="00E70827" w:rsidRPr="00770E04">
        <w:rPr>
          <w:rFonts w:ascii="Times New Roman" w:hAnsi="Times New Roman"/>
        </w:rPr>
        <w:t>portant sur les</w:t>
      </w:r>
      <w:r w:rsidR="007454A1" w:rsidRPr="00770E04">
        <w:rPr>
          <w:rFonts w:ascii="Times New Roman" w:hAnsi="Times New Roman"/>
        </w:rPr>
        <w:t xml:space="preserve"> no</w:t>
      </w:r>
      <w:r w:rsidR="004E10B6" w:rsidRPr="00770E04">
        <w:rPr>
          <w:rFonts w:ascii="Times New Roman" w:hAnsi="Times New Roman"/>
        </w:rPr>
        <w:t>uvelles dispositions du code auprès des femmes concernées</w:t>
      </w:r>
      <w:r w:rsidR="00D45C54">
        <w:rPr>
          <w:rFonts w:ascii="Times New Roman" w:hAnsi="Times New Roman"/>
        </w:rPr>
        <w:t>,</w:t>
      </w:r>
      <w:r w:rsidR="007B144F">
        <w:rPr>
          <w:rFonts w:ascii="Times New Roman" w:hAnsi="Times New Roman"/>
        </w:rPr>
        <w:t xml:space="preserve"> </w:t>
      </w:r>
      <w:r w:rsidR="00D45C54">
        <w:rPr>
          <w:rFonts w:ascii="Times New Roman" w:hAnsi="Times New Roman"/>
        </w:rPr>
        <w:t>a</w:t>
      </w:r>
      <w:r w:rsidR="00E70827" w:rsidRPr="00770E04">
        <w:rPr>
          <w:rFonts w:ascii="Times New Roman" w:hAnsi="Times New Roman"/>
        </w:rPr>
        <w:t xml:space="preserve">insi que la diffusion de brochures expliquant les étapes à suivre pour obtenir </w:t>
      </w:r>
      <w:r w:rsidR="004E10B6" w:rsidRPr="00770E04">
        <w:rPr>
          <w:rFonts w:ascii="Times New Roman" w:hAnsi="Times New Roman"/>
        </w:rPr>
        <w:t>la nationalité pour les enfants</w:t>
      </w:r>
      <w:r w:rsidR="00E70827" w:rsidRPr="00770E04">
        <w:rPr>
          <w:rFonts w:ascii="Times New Roman" w:hAnsi="Times New Roman"/>
        </w:rPr>
        <w:t>.</w:t>
      </w:r>
      <w:r w:rsidR="007B144F">
        <w:rPr>
          <w:rFonts w:ascii="Times New Roman" w:hAnsi="Times New Roman"/>
        </w:rPr>
        <w:t xml:space="preserve"> </w:t>
      </w:r>
      <w:r w:rsidR="00E70827" w:rsidRPr="00770E04">
        <w:rPr>
          <w:rFonts w:ascii="Times New Roman" w:hAnsi="Times New Roman"/>
        </w:rPr>
        <w:t xml:space="preserve">L’information a été également </w:t>
      </w:r>
      <w:r w:rsidR="000A6834" w:rsidRPr="00770E04">
        <w:rPr>
          <w:rFonts w:ascii="Times New Roman" w:hAnsi="Times New Roman"/>
        </w:rPr>
        <w:t>diffusée</w:t>
      </w:r>
      <w:r w:rsidR="00E70827" w:rsidRPr="00770E04">
        <w:rPr>
          <w:rFonts w:ascii="Times New Roman" w:hAnsi="Times New Roman"/>
        </w:rPr>
        <w:t xml:space="preserve"> par le biais du sit</w:t>
      </w:r>
      <w:r w:rsidR="00D45C54">
        <w:rPr>
          <w:rFonts w:ascii="Times New Roman" w:hAnsi="Times New Roman"/>
        </w:rPr>
        <w:t>e</w:t>
      </w:r>
      <w:r w:rsidR="00E70827" w:rsidRPr="00770E04">
        <w:rPr>
          <w:rFonts w:ascii="Times New Roman" w:hAnsi="Times New Roman"/>
        </w:rPr>
        <w:t xml:space="preserve"> web de l’association et par la participation à des émissions </w:t>
      </w:r>
      <w:r w:rsidR="00FD19BF" w:rsidRPr="00770E04">
        <w:rPr>
          <w:rFonts w:ascii="Times New Roman" w:hAnsi="Times New Roman"/>
        </w:rPr>
        <w:t>sur les cha</w:t>
      </w:r>
      <w:r w:rsidR="00D45C54">
        <w:rPr>
          <w:rFonts w:ascii="Times New Roman" w:hAnsi="Times New Roman"/>
        </w:rPr>
        <w:t>î</w:t>
      </w:r>
      <w:r w:rsidR="00FD19BF" w:rsidRPr="00770E04">
        <w:rPr>
          <w:rFonts w:ascii="Times New Roman" w:hAnsi="Times New Roman"/>
        </w:rPr>
        <w:t xml:space="preserve">nes nationales et les radios </w:t>
      </w:r>
      <w:r w:rsidR="007B144F" w:rsidRPr="00770E04">
        <w:rPr>
          <w:rFonts w:ascii="Times New Roman" w:hAnsi="Times New Roman"/>
        </w:rPr>
        <w:t>régionales.</w:t>
      </w:r>
    </w:p>
    <w:p w:rsidR="00FD19BF" w:rsidRPr="00770E04" w:rsidRDefault="004B0543" w:rsidP="00D02DDE">
      <w:pPr>
        <w:jc w:val="both"/>
        <w:rPr>
          <w:rFonts w:ascii="Times New Roman" w:hAnsi="Times New Roman"/>
        </w:rPr>
      </w:pPr>
      <w:r w:rsidRPr="00770E04">
        <w:rPr>
          <w:rFonts w:ascii="Times New Roman" w:hAnsi="Times New Roman"/>
        </w:rPr>
        <w:t>21.</w:t>
      </w:r>
      <w:r w:rsidR="00650719" w:rsidRPr="00770E04">
        <w:rPr>
          <w:rFonts w:ascii="Times New Roman" w:hAnsi="Times New Roman"/>
        </w:rPr>
        <w:t xml:space="preserve"> C</w:t>
      </w:r>
      <w:r w:rsidR="00FD19BF" w:rsidRPr="00770E04">
        <w:rPr>
          <w:rFonts w:ascii="Times New Roman" w:hAnsi="Times New Roman"/>
        </w:rPr>
        <w:t>ette expérience en matière de plaidoye</w:t>
      </w:r>
      <w:r w:rsidR="00650719" w:rsidRPr="00770E04">
        <w:rPr>
          <w:rFonts w:ascii="Times New Roman" w:hAnsi="Times New Roman"/>
        </w:rPr>
        <w:t xml:space="preserve">r </w:t>
      </w:r>
      <w:r w:rsidR="00FD19BF" w:rsidRPr="00770E04">
        <w:rPr>
          <w:rFonts w:ascii="Times New Roman" w:hAnsi="Times New Roman"/>
        </w:rPr>
        <w:t>pour l’égalité entre les  hommes et les femmes dans la</w:t>
      </w:r>
      <w:r w:rsidR="00650719" w:rsidRPr="00770E04">
        <w:rPr>
          <w:rFonts w:ascii="Times New Roman" w:hAnsi="Times New Roman"/>
        </w:rPr>
        <w:t xml:space="preserve"> transmission de la nationalité </w:t>
      </w:r>
      <w:r w:rsidR="00FD19BF" w:rsidRPr="00770E04">
        <w:rPr>
          <w:rFonts w:ascii="Times New Roman" w:hAnsi="Times New Roman"/>
        </w:rPr>
        <w:t xml:space="preserve"> a été largement partagée avec des </w:t>
      </w:r>
      <w:proofErr w:type="spellStart"/>
      <w:r w:rsidR="00FD19BF" w:rsidRPr="00770E04">
        <w:rPr>
          <w:rFonts w:ascii="Times New Roman" w:hAnsi="Times New Roman"/>
        </w:rPr>
        <w:t>ONGs</w:t>
      </w:r>
      <w:proofErr w:type="spellEnd"/>
      <w:r w:rsidR="00FD19BF" w:rsidRPr="00770E04">
        <w:rPr>
          <w:rFonts w:ascii="Times New Roman" w:hAnsi="Times New Roman"/>
        </w:rPr>
        <w:t xml:space="preserve"> de la région de MENA et le Maghreb.</w:t>
      </w:r>
      <w:r w:rsidR="007B144F">
        <w:rPr>
          <w:rFonts w:ascii="Times New Roman" w:hAnsi="Times New Roman"/>
        </w:rPr>
        <w:t xml:space="preserve"> </w:t>
      </w:r>
      <w:r w:rsidR="00FD19BF" w:rsidRPr="00770E04">
        <w:rPr>
          <w:rFonts w:ascii="Times New Roman" w:hAnsi="Times New Roman"/>
        </w:rPr>
        <w:t xml:space="preserve">Ce qui a contribué </w:t>
      </w:r>
      <w:r w:rsidR="00D45C54">
        <w:rPr>
          <w:rFonts w:ascii="Times New Roman" w:hAnsi="Times New Roman"/>
        </w:rPr>
        <w:t xml:space="preserve">à </w:t>
      </w:r>
      <w:r w:rsidR="00FD19BF" w:rsidRPr="00770E04">
        <w:rPr>
          <w:rFonts w:ascii="Times New Roman" w:hAnsi="Times New Roman"/>
        </w:rPr>
        <w:t>renforcer la mobilisation des femmes pour leur droit de transmettre leur n</w:t>
      </w:r>
      <w:r w:rsidR="00D45C54">
        <w:rPr>
          <w:rFonts w:ascii="Times New Roman" w:hAnsi="Times New Roman"/>
        </w:rPr>
        <w:t>a</w:t>
      </w:r>
      <w:r w:rsidR="00FD19BF" w:rsidRPr="00770E04">
        <w:rPr>
          <w:rFonts w:ascii="Times New Roman" w:hAnsi="Times New Roman"/>
        </w:rPr>
        <w:t>tionalité à leurs enfants et</w:t>
      </w:r>
      <w:r w:rsidR="00D45C54">
        <w:rPr>
          <w:rFonts w:ascii="Times New Roman" w:hAnsi="Times New Roman"/>
        </w:rPr>
        <w:t xml:space="preserve"> à</w:t>
      </w:r>
      <w:r w:rsidR="00FD19BF" w:rsidRPr="00770E04">
        <w:rPr>
          <w:rFonts w:ascii="Times New Roman" w:hAnsi="Times New Roman"/>
        </w:rPr>
        <w:t xml:space="preserve"> leur époux.</w:t>
      </w:r>
    </w:p>
    <w:p w:rsidR="0025302C" w:rsidRPr="00770E04" w:rsidRDefault="0025302C" w:rsidP="00D02DDE">
      <w:pPr>
        <w:pStyle w:val="ListParagraph"/>
        <w:jc w:val="both"/>
        <w:rPr>
          <w:rFonts w:ascii="Times New Roman" w:hAnsi="Times New Roman"/>
        </w:rPr>
      </w:pPr>
    </w:p>
    <w:p w:rsidR="00A209D9" w:rsidRPr="00770E04" w:rsidRDefault="00D02DDE" w:rsidP="007B144F">
      <w:pPr>
        <w:pStyle w:val="ListParagraph"/>
        <w:numPr>
          <w:ilvl w:val="0"/>
          <w:numId w:val="10"/>
        </w:numPr>
        <w:ind w:left="426" w:hanging="426"/>
        <w:jc w:val="both"/>
        <w:rPr>
          <w:rFonts w:ascii="Times New Roman" w:hAnsi="Times New Roman"/>
          <w:b/>
          <w:sz w:val="28"/>
          <w:szCs w:val="28"/>
        </w:rPr>
      </w:pPr>
      <w:r w:rsidRPr="00770E04">
        <w:rPr>
          <w:rFonts w:ascii="Times New Roman" w:hAnsi="Times New Roman"/>
          <w:b/>
          <w:sz w:val="28"/>
          <w:szCs w:val="28"/>
        </w:rPr>
        <w:t>Les d</w:t>
      </w:r>
      <w:r w:rsidR="0025302C" w:rsidRPr="00770E04">
        <w:rPr>
          <w:rFonts w:ascii="Times New Roman" w:hAnsi="Times New Roman"/>
          <w:b/>
          <w:sz w:val="28"/>
          <w:szCs w:val="28"/>
        </w:rPr>
        <w:t>iscriminations persistant</w:t>
      </w:r>
      <w:r w:rsidR="00AD3486" w:rsidRPr="00770E04">
        <w:rPr>
          <w:rFonts w:ascii="Times New Roman" w:hAnsi="Times New Roman"/>
          <w:b/>
          <w:sz w:val="28"/>
          <w:szCs w:val="28"/>
        </w:rPr>
        <w:t xml:space="preserve"> dans le code de la nationalité</w:t>
      </w:r>
    </w:p>
    <w:p w:rsidR="00E4103F" w:rsidRPr="00770E04" w:rsidRDefault="00E4103F" w:rsidP="00E4103F">
      <w:pPr>
        <w:pStyle w:val="ListParagraph"/>
        <w:jc w:val="both"/>
        <w:rPr>
          <w:rFonts w:ascii="Times New Roman" w:hAnsi="Times New Roman"/>
          <w:b/>
          <w:sz w:val="28"/>
          <w:szCs w:val="28"/>
        </w:rPr>
      </w:pPr>
    </w:p>
    <w:p w:rsidR="004B27B3" w:rsidRPr="00770E04" w:rsidRDefault="004B0543" w:rsidP="005F11EA">
      <w:pPr>
        <w:jc w:val="both"/>
        <w:rPr>
          <w:rFonts w:ascii="Times New Roman" w:hAnsi="Times New Roman"/>
        </w:rPr>
      </w:pPr>
      <w:r w:rsidRPr="00770E04">
        <w:rPr>
          <w:rFonts w:ascii="Times New Roman" w:hAnsi="Times New Roman"/>
        </w:rPr>
        <w:t>2</w:t>
      </w:r>
      <w:r w:rsidR="005F11EA" w:rsidRPr="00770E04">
        <w:rPr>
          <w:rFonts w:ascii="Times New Roman" w:hAnsi="Times New Roman"/>
        </w:rPr>
        <w:t>2</w:t>
      </w:r>
      <w:r w:rsidRPr="00770E04">
        <w:rPr>
          <w:rFonts w:ascii="Times New Roman" w:hAnsi="Times New Roman"/>
        </w:rPr>
        <w:t>.</w:t>
      </w:r>
      <w:r w:rsidR="007B144F">
        <w:rPr>
          <w:rFonts w:ascii="Times New Roman" w:hAnsi="Times New Roman"/>
        </w:rPr>
        <w:t xml:space="preserve"> </w:t>
      </w:r>
      <w:r w:rsidR="004B27B3" w:rsidRPr="00770E04">
        <w:rPr>
          <w:rFonts w:ascii="Times New Roman" w:hAnsi="Times New Roman"/>
        </w:rPr>
        <w:t>L’adoption du principe d’égalité n’apparaît pas dans tous les chapitres et articles à l’exception de l’article 6.</w:t>
      </w:r>
    </w:p>
    <w:p w:rsidR="004B27B3" w:rsidRPr="00770E04" w:rsidRDefault="004B0543" w:rsidP="005F11EA">
      <w:pPr>
        <w:jc w:val="both"/>
        <w:rPr>
          <w:rFonts w:ascii="Times New Roman" w:hAnsi="Times New Roman"/>
        </w:rPr>
      </w:pPr>
      <w:r w:rsidRPr="00770E04">
        <w:rPr>
          <w:rFonts w:ascii="Times New Roman" w:hAnsi="Times New Roman"/>
        </w:rPr>
        <w:t>2</w:t>
      </w:r>
      <w:r w:rsidR="005F11EA" w:rsidRPr="00770E04">
        <w:rPr>
          <w:rFonts w:ascii="Times New Roman" w:hAnsi="Times New Roman"/>
        </w:rPr>
        <w:t>3</w:t>
      </w:r>
      <w:r w:rsidRPr="00770E04">
        <w:rPr>
          <w:rFonts w:ascii="Times New Roman" w:hAnsi="Times New Roman"/>
        </w:rPr>
        <w:t>.</w:t>
      </w:r>
      <w:r w:rsidR="004B27B3" w:rsidRPr="00770E04">
        <w:rPr>
          <w:rFonts w:ascii="Times New Roman" w:hAnsi="Times New Roman"/>
        </w:rPr>
        <w:t xml:space="preserve"> Il s’est opéré un durcissement dans les conditions d’acquisition de la nationalité marocaine par l’épouse étrangère mariée avec un marocain.</w:t>
      </w:r>
    </w:p>
    <w:p w:rsidR="00E4103F" w:rsidRPr="00770E04" w:rsidRDefault="004B0543" w:rsidP="00D02DDE">
      <w:pPr>
        <w:jc w:val="both"/>
        <w:rPr>
          <w:rFonts w:ascii="Times New Roman" w:hAnsi="Times New Roman"/>
          <w:szCs w:val="22"/>
        </w:rPr>
      </w:pPr>
      <w:r w:rsidRPr="00770E04">
        <w:rPr>
          <w:rFonts w:ascii="Times New Roman" w:hAnsi="Times New Roman"/>
        </w:rPr>
        <w:t>2</w:t>
      </w:r>
      <w:r w:rsidR="005F11EA" w:rsidRPr="00770E04">
        <w:rPr>
          <w:rFonts w:ascii="Times New Roman" w:hAnsi="Times New Roman"/>
        </w:rPr>
        <w:t>4</w:t>
      </w:r>
      <w:r w:rsidRPr="00770E04">
        <w:rPr>
          <w:rFonts w:ascii="Times New Roman" w:hAnsi="Times New Roman"/>
        </w:rPr>
        <w:t>.</w:t>
      </w:r>
      <w:r w:rsidR="007B144F">
        <w:rPr>
          <w:rFonts w:ascii="Times New Roman" w:hAnsi="Times New Roman"/>
        </w:rPr>
        <w:t xml:space="preserve"> </w:t>
      </w:r>
      <w:r w:rsidR="004B27B3" w:rsidRPr="00770E04">
        <w:rPr>
          <w:rFonts w:ascii="Times New Roman" w:hAnsi="Times New Roman"/>
          <w:szCs w:val="22"/>
        </w:rPr>
        <w:t>Le droit d’acquisition de la nationalité marocaine de l’époux étranger marié avec une marocaine n’a pas été énoncé dans le projet d’amendements.</w:t>
      </w:r>
    </w:p>
    <w:p w:rsidR="00E4103F" w:rsidRPr="00770E04" w:rsidRDefault="00E4103F" w:rsidP="00D02DDE">
      <w:pPr>
        <w:jc w:val="both"/>
        <w:rPr>
          <w:rFonts w:ascii="Times New Roman" w:hAnsi="Times New Roman"/>
          <w:szCs w:val="22"/>
        </w:rPr>
      </w:pPr>
    </w:p>
    <w:p w:rsidR="0025302C" w:rsidRPr="00770E04" w:rsidRDefault="00A209D9" w:rsidP="00D02DDE">
      <w:pPr>
        <w:pStyle w:val="ListParagraph"/>
        <w:numPr>
          <w:ilvl w:val="0"/>
          <w:numId w:val="5"/>
        </w:numPr>
        <w:jc w:val="both"/>
        <w:rPr>
          <w:rFonts w:ascii="Times New Roman" w:hAnsi="Times New Roman"/>
          <w:b/>
          <w:sz w:val="28"/>
          <w:szCs w:val="28"/>
        </w:rPr>
      </w:pPr>
      <w:r w:rsidRPr="00770E04">
        <w:rPr>
          <w:rFonts w:ascii="Times New Roman" w:hAnsi="Times New Roman"/>
          <w:b/>
          <w:sz w:val="28"/>
          <w:szCs w:val="28"/>
        </w:rPr>
        <w:t>Recommandations</w:t>
      </w:r>
    </w:p>
    <w:p w:rsidR="0025302C" w:rsidRPr="00770E04" w:rsidRDefault="004B0543" w:rsidP="005F11EA">
      <w:pPr>
        <w:jc w:val="both"/>
        <w:rPr>
          <w:rFonts w:ascii="Times New Roman" w:hAnsi="Times New Roman"/>
          <w:b/>
        </w:rPr>
      </w:pPr>
      <w:r w:rsidRPr="00770E04">
        <w:rPr>
          <w:rFonts w:ascii="Times New Roman" w:hAnsi="Times New Roman"/>
        </w:rPr>
        <w:t>2</w:t>
      </w:r>
      <w:r w:rsidR="00D45C54">
        <w:rPr>
          <w:rFonts w:ascii="Times New Roman" w:hAnsi="Times New Roman"/>
        </w:rPr>
        <w:t>5</w:t>
      </w:r>
      <w:r w:rsidRPr="00770E04">
        <w:rPr>
          <w:rFonts w:ascii="Times New Roman" w:hAnsi="Times New Roman"/>
        </w:rPr>
        <w:t>.</w:t>
      </w:r>
      <w:r w:rsidR="004B27B3" w:rsidRPr="00770E04">
        <w:rPr>
          <w:rFonts w:ascii="Times New Roman" w:hAnsi="Times New Roman"/>
        </w:rPr>
        <w:t xml:space="preserve"> S</w:t>
      </w:r>
      <w:r w:rsidR="0025302C" w:rsidRPr="00770E04">
        <w:rPr>
          <w:rFonts w:ascii="Times New Roman" w:hAnsi="Times New Roman"/>
        </w:rPr>
        <w:t>igner et ratifier la Convention des Nations Unies sur la Nationalité de la Femme Mariée (1957);</w:t>
      </w:r>
    </w:p>
    <w:p w:rsidR="0025302C" w:rsidRPr="00770E04" w:rsidRDefault="00D45C54" w:rsidP="00D02DDE">
      <w:pPr>
        <w:jc w:val="both"/>
        <w:rPr>
          <w:rFonts w:ascii="Times New Roman" w:hAnsi="Times New Roman"/>
        </w:rPr>
      </w:pPr>
      <w:r>
        <w:rPr>
          <w:rFonts w:ascii="Times New Roman" w:hAnsi="Times New Roman"/>
        </w:rPr>
        <w:t>26</w:t>
      </w:r>
      <w:r w:rsidR="004B0543" w:rsidRPr="00770E04">
        <w:rPr>
          <w:rFonts w:ascii="Times New Roman" w:hAnsi="Times New Roman"/>
        </w:rPr>
        <w:t>.</w:t>
      </w:r>
      <w:r w:rsidR="004B27B3" w:rsidRPr="00770E04">
        <w:rPr>
          <w:rFonts w:ascii="Times New Roman" w:hAnsi="Times New Roman"/>
        </w:rPr>
        <w:t xml:space="preserve"> R</w:t>
      </w:r>
      <w:r w:rsidR="0025302C" w:rsidRPr="00770E04">
        <w:rPr>
          <w:rFonts w:ascii="Times New Roman" w:hAnsi="Times New Roman"/>
        </w:rPr>
        <w:t xml:space="preserve">econnaître le droit des femmes de transmettre leur nationalité à leurs époux étranger sur un pied d’égalité et dans les mêmes conditions </w:t>
      </w:r>
      <w:r>
        <w:rPr>
          <w:rFonts w:ascii="Times New Roman" w:hAnsi="Times New Roman"/>
        </w:rPr>
        <w:t>que celles</w:t>
      </w:r>
      <w:r w:rsidR="007B144F">
        <w:rPr>
          <w:rFonts w:ascii="Times New Roman" w:hAnsi="Times New Roman"/>
        </w:rPr>
        <w:t xml:space="preserve"> </w:t>
      </w:r>
      <w:r w:rsidR="0025302C" w:rsidRPr="00770E04">
        <w:rPr>
          <w:rFonts w:ascii="Times New Roman" w:hAnsi="Times New Roman"/>
        </w:rPr>
        <w:t xml:space="preserve">exigées </w:t>
      </w:r>
      <w:r>
        <w:rPr>
          <w:rFonts w:ascii="Times New Roman" w:hAnsi="Times New Roman"/>
        </w:rPr>
        <w:t xml:space="preserve">pour </w:t>
      </w:r>
      <w:r w:rsidR="0025302C" w:rsidRPr="00770E04">
        <w:rPr>
          <w:rFonts w:ascii="Times New Roman" w:hAnsi="Times New Roman"/>
        </w:rPr>
        <w:t>les hommes marocains;</w:t>
      </w:r>
    </w:p>
    <w:p w:rsidR="0025302C" w:rsidRPr="00770E04" w:rsidRDefault="004B0543" w:rsidP="0053051D">
      <w:pPr>
        <w:jc w:val="both"/>
        <w:rPr>
          <w:rFonts w:ascii="Times New Roman" w:hAnsi="Times New Roman"/>
        </w:rPr>
      </w:pPr>
      <w:r w:rsidRPr="00770E04">
        <w:rPr>
          <w:rFonts w:ascii="Times New Roman" w:hAnsi="Times New Roman"/>
        </w:rPr>
        <w:t>2</w:t>
      </w:r>
      <w:r w:rsidR="005F11EA" w:rsidRPr="00770E04">
        <w:rPr>
          <w:rFonts w:ascii="Times New Roman" w:hAnsi="Times New Roman"/>
        </w:rPr>
        <w:t>7</w:t>
      </w:r>
      <w:r w:rsidRPr="00770E04">
        <w:rPr>
          <w:rFonts w:ascii="Times New Roman" w:hAnsi="Times New Roman"/>
        </w:rPr>
        <w:t>.</w:t>
      </w:r>
      <w:r w:rsidR="004B27B3" w:rsidRPr="00770E04">
        <w:rPr>
          <w:rFonts w:ascii="Times New Roman" w:hAnsi="Times New Roman"/>
        </w:rPr>
        <w:t xml:space="preserve">  L</w:t>
      </w:r>
      <w:r w:rsidR="0025302C" w:rsidRPr="00770E04">
        <w:rPr>
          <w:rFonts w:ascii="Times New Roman" w:hAnsi="Times New Roman"/>
        </w:rPr>
        <w:t>e droit égal, pour les hommes et les femmes, de demander d’être déchus de leur nationalité en cas d’acquisition, en vertu de leur mariage, de la nationalité de leur conjoint ;</w:t>
      </w:r>
    </w:p>
    <w:p w:rsidR="0025302C" w:rsidRPr="00770E04" w:rsidRDefault="005F11EA" w:rsidP="00D02DDE">
      <w:pPr>
        <w:jc w:val="both"/>
        <w:rPr>
          <w:rFonts w:ascii="Times New Roman" w:hAnsi="Times New Roman"/>
        </w:rPr>
      </w:pPr>
      <w:r w:rsidRPr="00770E04">
        <w:rPr>
          <w:rFonts w:ascii="Times New Roman" w:hAnsi="Times New Roman"/>
        </w:rPr>
        <w:t>28</w:t>
      </w:r>
      <w:r w:rsidR="00BD1B1B" w:rsidRPr="00770E04">
        <w:rPr>
          <w:rFonts w:ascii="Times New Roman" w:hAnsi="Times New Roman"/>
        </w:rPr>
        <w:t>.</w:t>
      </w:r>
      <w:r w:rsidR="004B27B3" w:rsidRPr="00770E04">
        <w:rPr>
          <w:rFonts w:ascii="Times New Roman" w:hAnsi="Times New Roman"/>
        </w:rPr>
        <w:t xml:space="preserve"> L</w:t>
      </w:r>
      <w:r w:rsidR="0025302C" w:rsidRPr="00770E04">
        <w:rPr>
          <w:rFonts w:ascii="Times New Roman" w:hAnsi="Times New Roman"/>
        </w:rPr>
        <w:t>a reconnaissance du mariage entre une femme étrangère et un homme marocain, quelle que soit l’appartenance religieuse de la première;</w:t>
      </w:r>
    </w:p>
    <w:p w:rsidR="002D3AB4" w:rsidRPr="00770E04" w:rsidRDefault="005F11EA" w:rsidP="00D02DDE">
      <w:pPr>
        <w:jc w:val="both"/>
        <w:rPr>
          <w:rFonts w:ascii="Times New Roman" w:hAnsi="Times New Roman"/>
        </w:rPr>
      </w:pPr>
      <w:r w:rsidRPr="00770E04">
        <w:rPr>
          <w:rFonts w:ascii="Times New Roman" w:hAnsi="Times New Roman"/>
        </w:rPr>
        <w:t>29</w:t>
      </w:r>
      <w:r w:rsidR="00BD1B1B" w:rsidRPr="00770E04">
        <w:rPr>
          <w:rFonts w:ascii="Times New Roman" w:hAnsi="Times New Roman"/>
        </w:rPr>
        <w:t>.</w:t>
      </w:r>
      <w:r w:rsidR="004B27B3" w:rsidRPr="00770E04">
        <w:rPr>
          <w:rFonts w:ascii="Times New Roman" w:hAnsi="Times New Roman"/>
        </w:rPr>
        <w:t xml:space="preserve"> A</w:t>
      </w:r>
      <w:r w:rsidR="002D3AB4" w:rsidRPr="00770E04">
        <w:rPr>
          <w:rFonts w:ascii="Times New Roman" w:hAnsi="Times New Roman"/>
        </w:rPr>
        <w:t>ccorder à toute femme</w:t>
      </w:r>
      <w:r w:rsidR="004B27B3" w:rsidRPr="00770E04">
        <w:rPr>
          <w:rFonts w:ascii="Times New Roman" w:hAnsi="Times New Roman"/>
        </w:rPr>
        <w:t xml:space="preserve"> marocaine, sans préoccupation relative</w:t>
      </w:r>
      <w:r w:rsidR="002D3AB4" w:rsidRPr="00770E04">
        <w:rPr>
          <w:rFonts w:ascii="Times New Roman" w:hAnsi="Times New Roman"/>
        </w:rPr>
        <w:t xml:space="preserve"> à son mariage, le droit de transmettre sa nationalité à son enfant;</w:t>
      </w:r>
    </w:p>
    <w:p w:rsidR="008D04E4" w:rsidRPr="00770E04" w:rsidRDefault="00BD1B1B" w:rsidP="005F11EA">
      <w:pPr>
        <w:jc w:val="both"/>
        <w:rPr>
          <w:rFonts w:ascii="Times New Roman" w:hAnsi="Times New Roman"/>
        </w:rPr>
      </w:pPr>
      <w:r w:rsidRPr="00770E04">
        <w:rPr>
          <w:rFonts w:ascii="Times New Roman" w:hAnsi="Times New Roman"/>
        </w:rPr>
        <w:t>3</w:t>
      </w:r>
      <w:r w:rsidR="005F11EA" w:rsidRPr="00770E04">
        <w:rPr>
          <w:rFonts w:ascii="Times New Roman" w:hAnsi="Times New Roman"/>
        </w:rPr>
        <w:t>0</w:t>
      </w:r>
      <w:r w:rsidRPr="00770E04">
        <w:rPr>
          <w:rFonts w:ascii="Times New Roman" w:hAnsi="Times New Roman"/>
        </w:rPr>
        <w:t>.</w:t>
      </w:r>
      <w:r w:rsidR="004B27B3" w:rsidRPr="00770E04">
        <w:rPr>
          <w:rFonts w:ascii="Times New Roman" w:hAnsi="Times New Roman"/>
        </w:rPr>
        <w:t xml:space="preserve"> A</w:t>
      </w:r>
      <w:r w:rsidR="008D04E4" w:rsidRPr="00770E04">
        <w:rPr>
          <w:rFonts w:ascii="Times New Roman" w:hAnsi="Times New Roman"/>
        </w:rPr>
        <w:t>ccorder la nationalité à toute personne majeure lors de la réforme et n’ayant pas pu hériter de la nationalité marocaine de leur mère;</w:t>
      </w:r>
    </w:p>
    <w:p w:rsidR="00B62341" w:rsidRPr="00770E04" w:rsidRDefault="00B62341" w:rsidP="00D02DDE">
      <w:pPr>
        <w:jc w:val="both"/>
        <w:rPr>
          <w:rFonts w:ascii="Times New Roman" w:hAnsi="Times New Roman"/>
          <w:color w:val="C0504D" w:themeColor="accent2"/>
        </w:rPr>
      </w:pPr>
    </w:p>
    <w:p w:rsidR="00887CD0" w:rsidRPr="00770E04" w:rsidRDefault="00887CD0" w:rsidP="00D02DDE">
      <w:pPr>
        <w:jc w:val="both"/>
        <w:rPr>
          <w:rFonts w:ascii="Times New Roman" w:hAnsi="Times New Roman"/>
          <w:b/>
          <w:i/>
        </w:rPr>
      </w:pPr>
    </w:p>
    <w:p w:rsidR="005C5C37" w:rsidRPr="00770E04" w:rsidRDefault="005C5C37" w:rsidP="00D02DDE">
      <w:pPr>
        <w:jc w:val="both"/>
        <w:rPr>
          <w:rFonts w:ascii="Times New Roman" w:hAnsi="Times New Roman"/>
        </w:rPr>
      </w:pPr>
    </w:p>
    <w:p w:rsidR="00887CD0" w:rsidRPr="00770E04" w:rsidRDefault="00887CD0" w:rsidP="00D02DDE">
      <w:pPr>
        <w:jc w:val="both"/>
        <w:rPr>
          <w:rFonts w:ascii="Times New Roman" w:hAnsi="Times New Roman"/>
        </w:rPr>
      </w:pPr>
    </w:p>
    <w:p w:rsidR="00037D7F" w:rsidRPr="00770E04" w:rsidRDefault="00037D7F" w:rsidP="00D02DDE">
      <w:pPr>
        <w:jc w:val="both"/>
        <w:rPr>
          <w:rFonts w:ascii="Times New Roman" w:hAnsi="Times New Roman"/>
        </w:rPr>
      </w:pPr>
    </w:p>
    <w:sectPr w:rsidR="00037D7F" w:rsidRPr="00770E04" w:rsidSect="004A421F">
      <w:footerReference w:type="even" r:id="rId11"/>
      <w:footerReference w:type="defaul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5E" w:rsidRDefault="000F3E5E" w:rsidP="0071339E">
      <w:pPr>
        <w:spacing w:after="0"/>
      </w:pPr>
      <w:r>
        <w:separator/>
      </w:r>
    </w:p>
  </w:endnote>
  <w:endnote w:type="continuationSeparator" w:id="0">
    <w:p w:rsidR="000F3E5E" w:rsidRDefault="000F3E5E" w:rsidP="00713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62" w:rsidRDefault="007B315D" w:rsidP="004A421F">
    <w:pPr>
      <w:pStyle w:val="Footer"/>
      <w:framePr w:wrap="around" w:vAnchor="text" w:hAnchor="margin" w:xAlign="right" w:y="1"/>
      <w:rPr>
        <w:rStyle w:val="PageNumber"/>
      </w:rPr>
    </w:pPr>
    <w:r>
      <w:rPr>
        <w:rStyle w:val="PageNumber"/>
      </w:rPr>
      <w:fldChar w:fldCharType="begin"/>
    </w:r>
    <w:r w:rsidR="004C0D62">
      <w:rPr>
        <w:rStyle w:val="PageNumber"/>
      </w:rPr>
      <w:instrText xml:space="preserve">PAGE  </w:instrText>
    </w:r>
    <w:r>
      <w:rPr>
        <w:rStyle w:val="PageNumber"/>
      </w:rPr>
      <w:fldChar w:fldCharType="end"/>
    </w:r>
  </w:p>
  <w:p w:rsidR="004C0D62" w:rsidRDefault="004C0D62" w:rsidP="004A4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62" w:rsidRDefault="007B315D" w:rsidP="004A421F">
    <w:pPr>
      <w:pStyle w:val="Footer"/>
      <w:framePr w:wrap="around" w:vAnchor="text" w:hAnchor="margin" w:xAlign="right" w:y="1"/>
      <w:rPr>
        <w:rStyle w:val="PageNumber"/>
      </w:rPr>
    </w:pPr>
    <w:r>
      <w:rPr>
        <w:rStyle w:val="PageNumber"/>
      </w:rPr>
      <w:fldChar w:fldCharType="begin"/>
    </w:r>
    <w:r w:rsidR="004C0D62">
      <w:rPr>
        <w:rStyle w:val="PageNumber"/>
      </w:rPr>
      <w:instrText xml:space="preserve">PAGE  </w:instrText>
    </w:r>
    <w:r>
      <w:rPr>
        <w:rStyle w:val="PageNumber"/>
      </w:rPr>
      <w:fldChar w:fldCharType="separate"/>
    </w:r>
    <w:r w:rsidR="00026B98">
      <w:rPr>
        <w:rStyle w:val="PageNumber"/>
        <w:noProof/>
      </w:rPr>
      <w:t>2</w:t>
    </w:r>
    <w:r>
      <w:rPr>
        <w:rStyle w:val="PageNumber"/>
      </w:rPr>
      <w:fldChar w:fldCharType="end"/>
    </w:r>
  </w:p>
  <w:p w:rsidR="004C0D62" w:rsidRDefault="004C0D62" w:rsidP="004A42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5E" w:rsidRDefault="000F3E5E" w:rsidP="0071339E">
      <w:pPr>
        <w:spacing w:after="0"/>
      </w:pPr>
      <w:r>
        <w:separator/>
      </w:r>
    </w:p>
  </w:footnote>
  <w:footnote w:type="continuationSeparator" w:id="0">
    <w:p w:rsidR="000F3E5E" w:rsidRDefault="000F3E5E" w:rsidP="0071339E">
      <w:pPr>
        <w:spacing w:after="0"/>
      </w:pPr>
      <w:r>
        <w:continuationSeparator/>
      </w:r>
    </w:p>
  </w:footnote>
  <w:footnote w:id="1">
    <w:p w:rsidR="004C0D62" w:rsidRPr="00364CC9" w:rsidRDefault="004C0D62" w:rsidP="00364CC9">
      <w:pPr>
        <w:pStyle w:val="CommentText"/>
        <w:rPr>
          <w:sz w:val="16"/>
        </w:rPr>
      </w:pPr>
      <w:r>
        <w:rPr>
          <w:rStyle w:val="FootnoteReference"/>
        </w:rPr>
        <w:footnoteRef/>
      </w:r>
      <w:r>
        <w:t xml:space="preserve"> </w:t>
      </w:r>
      <w:r w:rsidRPr="00364CC9">
        <w:rPr>
          <w:sz w:val="16"/>
        </w:rPr>
        <w:t>Ceci ne figure pas expressément dans le code de la nationalité. C'est une conséquence du code de la famille qui ne permet pas aux femmes musulmanes  d'épouser un non musulman. (</w:t>
      </w:r>
      <w:r w:rsidR="000A6834" w:rsidRPr="00364CC9">
        <w:rPr>
          <w:sz w:val="16"/>
        </w:rPr>
        <w:t>Art</w:t>
      </w:r>
      <w:r w:rsidRPr="00364CC9">
        <w:rPr>
          <w:sz w:val="16"/>
        </w:rPr>
        <w:t xml:space="preserve">. 39, 4 du code de la famille). Par voie de conséquence, une femme marocaine musulmane qui épouse un non musulman </w:t>
      </w:r>
      <w:r w:rsidR="000A6834" w:rsidRPr="00364CC9">
        <w:rPr>
          <w:sz w:val="16"/>
        </w:rPr>
        <w:t>(mariage</w:t>
      </w:r>
      <w:r w:rsidRPr="00364CC9">
        <w:rPr>
          <w:sz w:val="16"/>
        </w:rPr>
        <w:t xml:space="preserve"> qui ne peut  être célébré  qu'à l'étranger) n'est pas considérée comme mariée au Maroc. Que se passerait-il si elle déclarait son enfant comme enfant naturel né de père inconnu ?  Quant à la femme marocaine qui vit en concubinage au Maroc, elle tombe sous le coup de l'article 490 du code pénal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650"/>
    <w:multiLevelType w:val="hybridMultilevel"/>
    <w:tmpl w:val="9D8A43B0"/>
    <w:lvl w:ilvl="0" w:tplc="DFA68F8E">
      <w:start w:val="17"/>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244AB"/>
    <w:multiLevelType w:val="hybridMultilevel"/>
    <w:tmpl w:val="A7F6FD20"/>
    <w:lvl w:ilvl="0" w:tplc="17E63FEC">
      <w:start w:val="6"/>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445435E"/>
    <w:multiLevelType w:val="hybridMultilevel"/>
    <w:tmpl w:val="255EE2EE"/>
    <w:lvl w:ilvl="0" w:tplc="9F88C65A">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37345B"/>
    <w:multiLevelType w:val="hybridMultilevel"/>
    <w:tmpl w:val="84C059C6"/>
    <w:lvl w:ilvl="0" w:tplc="E51E5AAC">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0D218E9"/>
    <w:multiLevelType w:val="hybridMultilevel"/>
    <w:tmpl w:val="002A9216"/>
    <w:lvl w:ilvl="0" w:tplc="2F0EA178">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0431D0"/>
    <w:multiLevelType w:val="hybridMultilevel"/>
    <w:tmpl w:val="5A840B1A"/>
    <w:lvl w:ilvl="0" w:tplc="1AD020BE">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D578AD"/>
    <w:multiLevelType w:val="hybridMultilevel"/>
    <w:tmpl w:val="C23ADE56"/>
    <w:lvl w:ilvl="0" w:tplc="1054DF5C">
      <w:start w:val="1"/>
      <w:numFmt w:val="decimal"/>
      <w:lvlText w:val="%1."/>
      <w:lvlJc w:val="left"/>
      <w:pPr>
        <w:tabs>
          <w:tab w:val="num" w:pos="720"/>
        </w:tabs>
        <w:ind w:left="720" w:hanging="360"/>
      </w:pPr>
    </w:lvl>
    <w:lvl w:ilvl="1" w:tplc="67B4F360" w:tentative="1">
      <w:start w:val="1"/>
      <w:numFmt w:val="decimal"/>
      <w:lvlText w:val="%2."/>
      <w:lvlJc w:val="left"/>
      <w:pPr>
        <w:tabs>
          <w:tab w:val="num" w:pos="1440"/>
        </w:tabs>
        <w:ind w:left="1440" w:hanging="360"/>
      </w:pPr>
    </w:lvl>
    <w:lvl w:ilvl="2" w:tplc="6FB4E0EA" w:tentative="1">
      <w:start w:val="1"/>
      <w:numFmt w:val="decimal"/>
      <w:lvlText w:val="%3."/>
      <w:lvlJc w:val="left"/>
      <w:pPr>
        <w:tabs>
          <w:tab w:val="num" w:pos="2160"/>
        </w:tabs>
        <w:ind w:left="2160" w:hanging="360"/>
      </w:pPr>
    </w:lvl>
    <w:lvl w:ilvl="3" w:tplc="188883D2" w:tentative="1">
      <w:start w:val="1"/>
      <w:numFmt w:val="decimal"/>
      <w:lvlText w:val="%4."/>
      <w:lvlJc w:val="left"/>
      <w:pPr>
        <w:tabs>
          <w:tab w:val="num" w:pos="2880"/>
        </w:tabs>
        <w:ind w:left="2880" w:hanging="360"/>
      </w:pPr>
    </w:lvl>
    <w:lvl w:ilvl="4" w:tplc="96D4C712" w:tentative="1">
      <w:start w:val="1"/>
      <w:numFmt w:val="decimal"/>
      <w:lvlText w:val="%5."/>
      <w:lvlJc w:val="left"/>
      <w:pPr>
        <w:tabs>
          <w:tab w:val="num" w:pos="3600"/>
        </w:tabs>
        <w:ind w:left="3600" w:hanging="360"/>
      </w:pPr>
    </w:lvl>
    <w:lvl w:ilvl="5" w:tplc="9064BF6C" w:tentative="1">
      <w:start w:val="1"/>
      <w:numFmt w:val="decimal"/>
      <w:lvlText w:val="%6."/>
      <w:lvlJc w:val="left"/>
      <w:pPr>
        <w:tabs>
          <w:tab w:val="num" w:pos="4320"/>
        </w:tabs>
        <w:ind w:left="4320" w:hanging="360"/>
      </w:pPr>
    </w:lvl>
    <w:lvl w:ilvl="6" w:tplc="1CAC6B58" w:tentative="1">
      <w:start w:val="1"/>
      <w:numFmt w:val="decimal"/>
      <w:lvlText w:val="%7."/>
      <w:lvlJc w:val="left"/>
      <w:pPr>
        <w:tabs>
          <w:tab w:val="num" w:pos="5040"/>
        </w:tabs>
        <w:ind w:left="5040" w:hanging="360"/>
      </w:pPr>
    </w:lvl>
    <w:lvl w:ilvl="7" w:tplc="7460F044" w:tentative="1">
      <w:start w:val="1"/>
      <w:numFmt w:val="decimal"/>
      <w:lvlText w:val="%8."/>
      <w:lvlJc w:val="left"/>
      <w:pPr>
        <w:tabs>
          <w:tab w:val="num" w:pos="5760"/>
        </w:tabs>
        <w:ind w:left="5760" w:hanging="360"/>
      </w:pPr>
    </w:lvl>
    <w:lvl w:ilvl="8" w:tplc="2B0CD0EE" w:tentative="1">
      <w:start w:val="1"/>
      <w:numFmt w:val="decimal"/>
      <w:lvlText w:val="%9."/>
      <w:lvlJc w:val="left"/>
      <w:pPr>
        <w:tabs>
          <w:tab w:val="num" w:pos="6480"/>
        </w:tabs>
        <w:ind w:left="6480" w:hanging="360"/>
      </w:pPr>
    </w:lvl>
  </w:abstractNum>
  <w:abstractNum w:abstractNumId="7">
    <w:nsid w:val="528626FF"/>
    <w:multiLevelType w:val="hybridMultilevel"/>
    <w:tmpl w:val="BDBA1E70"/>
    <w:lvl w:ilvl="0" w:tplc="7C8C9474">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A962F2"/>
    <w:multiLevelType w:val="hybridMultilevel"/>
    <w:tmpl w:val="EBB41E9C"/>
    <w:lvl w:ilvl="0" w:tplc="C8ACEF0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4620FC"/>
    <w:multiLevelType w:val="hybridMultilevel"/>
    <w:tmpl w:val="11B007C6"/>
    <w:lvl w:ilvl="0" w:tplc="E51E5AAC">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69C4CE2"/>
    <w:multiLevelType w:val="hybridMultilevel"/>
    <w:tmpl w:val="0DF835DA"/>
    <w:lvl w:ilvl="0" w:tplc="66BA54A8">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7E73A5"/>
    <w:multiLevelType w:val="hybridMultilevel"/>
    <w:tmpl w:val="D2DE2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D6A0EFA"/>
    <w:multiLevelType w:val="hybridMultilevel"/>
    <w:tmpl w:val="3D64B02E"/>
    <w:lvl w:ilvl="0" w:tplc="FE3018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2"/>
  </w:num>
  <w:num w:numId="5">
    <w:abstractNumId w:val="1"/>
  </w:num>
  <w:num w:numId="6">
    <w:abstractNumId w:val="6"/>
  </w:num>
  <w:num w:numId="7">
    <w:abstractNumId w:val="0"/>
  </w:num>
  <w:num w:numId="8">
    <w:abstractNumId w:val="9"/>
  </w:num>
  <w:num w:numId="9">
    <w:abstractNumId w:val="3"/>
  </w:num>
  <w:num w:numId="10">
    <w:abstractNumId w:val="5"/>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87CD0"/>
    <w:rsid w:val="00026B98"/>
    <w:rsid w:val="00037D7F"/>
    <w:rsid w:val="00065802"/>
    <w:rsid w:val="000671FA"/>
    <w:rsid w:val="000814C0"/>
    <w:rsid w:val="000912C1"/>
    <w:rsid w:val="000A6834"/>
    <w:rsid w:val="000B0D5A"/>
    <w:rsid w:val="000F3E5E"/>
    <w:rsid w:val="001356E7"/>
    <w:rsid w:val="00165077"/>
    <w:rsid w:val="00193AF7"/>
    <w:rsid w:val="001B3DD0"/>
    <w:rsid w:val="001E5FDE"/>
    <w:rsid w:val="0025302C"/>
    <w:rsid w:val="00290070"/>
    <w:rsid w:val="002B7040"/>
    <w:rsid w:val="002D3AB4"/>
    <w:rsid w:val="00304017"/>
    <w:rsid w:val="003274E4"/>
    <w:rsid w:val="00364CC9"/>
    <w:rsid w:val="00367AEB"/>
    <w:rsid w:val="003730F1"/>
    <w:rsid w:val="003E2319"/>
    <w:rsid w:val="00424401"/>
    <w:rsid w:val="00457218"/>
    <w:rsid w:val="00460571"/>
    <w:rsid w:val="00486F93"/>
    <w:rsid w:val="004A26E3"/>
    <w:rsid w:val="004A2B44"/>
    <w:rsid w:val="004A421F"/>
    <w:rsid w:val="004B0543"/>
    <w:rsid w:val="004B27B3"/>
    <w:rsid w:val="004C0D62"/>
    <w:rsid w:val="004E10B6"/>
    <w:rsid w:val="004F72EE"/>
    <w:rsid w:val="00514F68"/>
    <w:rsid w:val="0053051D"/>
    <w:rsid w:val="00562C97"/>
    <w:rsid w:val="0057349D"/>
    <w:rsid w:val="00574DD1"/>
    <w:rsid w:val="005C5C37"/>
    <w:rsid w:val="005D0154"/>
    <w:rsid w:val="005F11EA"/>
    <w:rsid w:val="00650719"/>
    <w:rsid w:val="00652CFA"/>
    <w:rsid w:val="006730D7"/>
    <w:rsid w:val="006773F2"/>
    <w:rsid w:val="00682320"/>
    <w:rsid w:val="00694064"/>
    <w:rsid w:val="006A6E41"/>
    <w:rsid w:val="006B3757"/>
    <w:rsid w:val="006D2AAE"/>
    <w:rsid w:val="0071339E"/>
    <w:rsid w:val="00733917"/>
    <w:rsid w:val="007454A1"/>
    <w:rsid w:val="00770E04"/>
    <w:rsid w:val="007B144F"/>
    <w:rsid w:val="007B315D"/>
    <w:rsid w:val="007C0581"/>
    <w:rsid w:val="007D392D"/>
    <w:rsid w:val="007D48FF"/>
    <w:rsid w:val="007E47FF"/>
    <w:rsid w:val="007F2095"/>
    <w:rsid w:val="00811186"/>
    <w:rsid w:val="0082794C"/>
    <w:rsid w:val="00850967"/>
    <w:rsid w:val="00862F1B"/>
    <w:rsid w:val="00886A81"/>
    <w:rsid w:val="008877DB"/>
    <w:rsid w:val="00887CD0"/>
    <w:rsid w:val="008A353C"/>
    <w:rsid w:val="008A3D41"/>
    <w:rsid w:val="008A742E"/>
    <w:rsid w:val="008D01EB"/>
    <w:rsid w:val="008D04E4"/>
    <w:rsid w:val="008D6330"/>
    <w:rsid w:val="009128EE"/>
    <w:rsid w:val="00964BBE"/>
    <w:rsid w:val="00973529"/>
    <w:rsid w:val="009867BC"/>
    <w:rsid w:val="009D0C38"/>
    <w:rsid w:val="009D170C"/>
    <w:rsid w:val="009E5DDF"/>
    <w:rsid w:val="009F571C"/>
    <w:rsid w:val="00A05EEB"/>
    <w:rsid w:val="00A209D9"/>
    <w:rsid w:val="00A307F6"/>
    <w:rsid w:val="00A81912"/>
    <w:rsid w:val="00AD3486"/>
    <w:rsid w:val="00AD3A86"/>
    <w:rsid w:val="00B50FFF"/>
    <w:rsid w:val="00B52D43"/>
    <w:rsid w:val="00B534E7"/>
    <w:rsid w:val="00B62341"/>
    <w:rsid w:val="00B62546"/>
    <w:rsid w:val="00B86EC4"/>
    <w:rsid w:val="00B96D34"/>
    <w:rsid w:val="00BD1B1B"/>
    <w:rsid w:val="00BF7F0B"/>
    <w:rsid w:val="00C11B10"/>
    <w:rsid w:val="00C163EA"/>
    <w:rsid w:val="00C30A26"/>
    <w:rsid w:val="00C366DD"/>
    <w:rsid w:val="00C42A73"/>
    <w:rsid w:val="00C649F8"/>
    <w:rsid w:val="00C74E0F"/>
    <w:rsid w:val="00C93B30"/>
    <w:rsid w:val="00CB368F"/>
    <w:rsid w:val="00CE1F26"/>
    <w:rsid w:val="00CF6917"/>
    <w:rsid w:val="00D00ACD"/>
    <w:rsid w:val="00D02DDE"/>
    <w:rsid w:val="00D0459D"/>
    <w:rsid w:val="00D32CBB"/>
    <w:rsid w:val="00D412CD"/>
    <w:rsid w:val="00D45C54"/>
    <w:rsid w:val="00D60632"/>
    <w:rsid w:val="00D67CA8"/>
    <w:rsid w:val="00DD19B1"/>
    <w:rsid w:val="00E13EB7"/>
    <w:rsid w:val="00E4103F"/>
    <w:rsid w:val="00E70827"/>
    <w:rsid w:val="00ED140F"/>
    <w:rsid w:val="00F07062"/>
    <w:rsid w:val="00F21783"/>
    <w:rsid w:val="00F36601"/>
    <w:rsid w:val="00F37D2B"/>
    <w:rsid w:val="00F41756"/>
    <w:rsid w:val="00F66C02"/>
    <w:rsid w:val="00F715F1"/>
    <w:rsid w:val="00F87582"/>
    <w:rsid w:val="00F92DAA"/>
    <w:rsid w:val="00FA789F"/>
    <w:rsid w:val="00FC076B"/>
    <w:rsid w:val="00FD19BF"/>
    <w:rsid w:val="00FD4DD4"/>
    <w:rsid w:val="00FD6351"/>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0"/>
    <w:pPr>
      <w:ind w:left="720"/>
      <w:contextualSpacing/>
    </w:pPr>
  </w:style>
  <w:style w:type="paragraph" w:styleId="FootnoteText">
    <w:name w:val="footnote text"/>
    <w:basedOn w:val="Normal"/>
    <w:link w:val="FootnoteTextChar"/>
    <w:semiHidden/>
    <w:rsid w:val="0071339E"/>
    <w:pPr>
      <w:spacing w:after="0"/>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71339E"/>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rsid w:val="0071339E"/>
    <w:rPr>
      <w:vertAlign w:val="superscript"/>
    </w:rPr>
  </w:style>
  <w:style w:type="paragraph" w:styleId="NormalWeb">
    <w:name w:val="Normal (Web)"/>
    <w:basedOn w:val="Normal"/>
    <w:rsid w:val="0071339E"/>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rsid w:val="0071339E"/>
    <w:rPr>
      <w:color w:val="0000FF"/>
      <w:u w:val="single"/>
    </w:rPr>
  </w:style>
  <w:style w:type="paragraph" w:styleId="Footer">
    <w:name w:val="footer"/>
    <w:basedOn w:val="Normal"/>
    <w:link w:val="FooterChar"/>
    <w:uiPriority w:val="99"/>
    <w:semiHidden/>
    <w:unhideWhenUsed/>
    <w:rsid w:val="004A421F"/>
    <w:pPr>
      <w:tabs>
        <w:tab w:val="center" w:pos="4536"/>
        <w:tab w:val="right" w:pos="9072"/>
      </w:tabs>
      <w:spacing w:after="0"/>
    </w:pPr>
  </w:style>
  <w:style w:type="character" w:customStyle="1" w:styleId="FooterChar">
    <w:name w:val="Footer Char"/>
    <w:basedOn w:val="DefaultParagraphFont"/>
    <w:link w:val="Footer"/>
    <w:uiPriority w:val="99"/>
    <w:semiHidden/>
    <w:rsid w:val="004A421F"/>
  </w:style>
  <w:style w:type="character" w:styleId="PageNumber">
    <w:name w:val="page number"/>
    <w:basedOn w:val="DefaultParagraphFont"/>
    <w:uiPriority w:val="99"/>
    <w:semiHidden/>
    <w:unhideWhenUsed/>
    <w:rsid w:val="004A421F"/>
  </w:style>
  <w:style w:type="paragraph" w:styleId="BalloonText">
    <w:name w:val="Balloon Text"/>
    <w:basedOn w:val="Normal"/>
    <w:link w:val="BalloonTextChar"/>
    <w:uiPriority w:val="99"/>
    <w:semiHidden/>
    <w:unhideWhenUsed/>
    <w:rsid w:val="00770E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04"/>
    <w:rPr>
      <w:rFonts w:ascii="Tahoma" w:hAnsi="Tahoma" w:cs="Tahoma"/>
      <w:sz w:val="16"/>
      <w:szCs w:val="16"/>
    </w:rPr>
  </w:style>
  <w:style w:type="character" w:styleId="CommentReference">
    <w:name w:val="annotation reference"/>
    <w:basedOn w:val="DefaultParagraphFont"/>
    <w:uiPriority w:val="99"/>
    <w:semiHidden/>
    <w:unhideWhenUsed/>
    <w:rsid w:val="00770E04"/>
    <w:rPr>
      <w:sz w:val="16"/>
      <w:szCs w:val="16"/>
    </w:rPr>
  </w:style>
  <w:style w:type="paragraph" w:styleId="CommentText">
    <w:name w:val="annotation text"/>
    <w:basedOn w:val="Normal"/>
    <w:link w:val="CommentTextChar"/>
    <w:uiPriority w:val="99"/>
    <w:unhideWhenUsed/>
    <w:rsid w:val="00770E04"/>
    <w:rPr>
      <w:sz w:val="20"/>
      <w:szCs w:val="20"/>
    </w:rPr>
  </w:style>
  <w:style w:type="character" w:customStyle="1" w:styleId="CommentTextChar">
    <w:name w:val="Comment Text Char"/>
    <w:basedOn w:val="DefaultParagraphFont"/>
    <w:link w:val="CommentText"/>
    <w:uiPriority w:val="99"/>
    <w:rsid w:val="00770E04"/>
    <w:rPr>
      <w:sz w:val="20"/>
      <w:szCs w:val="20"/>
    </w:rPr>
  </w:style>
  <w:style w:type="paragraph" w:styleId="CommentSubject">
    <w:name w:val="annotation subject"/>
    <w:basedOn w:val="CommentText"/>
    <w:next w:val="CommentText"/>
    <w:link w:val="CommentSubjectChar"/>
    <w:uiPriority w:val="99"/>
    <w:semiHidden/>
    <w:unhideWhenUsed/>
    <w:rsid w:val="00770E04"/>
    <w:rPr>
      <w:b/>
      <w:bCs/>
    </w:rPr>
  </w:style>
  <w:style w:type="character" w:customStyle="1" w:styleId="CommentSubjectChar">
    <w:name w:val="Comment Subject Char"/>
    <w:basedOn w:val="CommentTextChar"/>
    <w:link w:val="CommentSubject"/>
    <w:uiPriority w:val="99"/>
    <w:semiHidden/>
    <w:rsid w:val="00770E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31D1-009F-47FE-872B-B7C2AE15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FUSL</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 idrissi</dc:creator>
  <cp:lastModifiedBy>WRGU Intern</cp:lastModifiedBy>
  <cp:revision>2</cp:revision>
  <dcterms:created xsi:type="dcterms:W3CDTF">2012-12-06T09:55:00Z</dcterms:created>
  <dcterms:modified xsi:type="dcterms:W3CDTF">2012-12-06T09:55:00Z</dcterms:modified>
</cp:coreProperties>
</file>