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25" w:rsidRPr="00963CCD" w:rsidRDefault="00800E25" w:rsidP="008C41C0">
      <w:pPr>
        <w:spacing w:before="100" w:beforeAutospacing="1" w:after="100" w:afterAutospacing="1" w:line="240" w:lineRule="auto"/>
        <w:jc w:val="center"/>
        <w:outlineLvl w:val="2"/>
        <w:rPr>
          <w:rFonts w:ascii="Verdana" w:eastAsia="Times New Roman" w:hAnsi="Verdana" w:cs="Times New Roman"/>
          <w:b/>
          <w:bCs/>
          <w:lang w:eastAsia="en-GB"/>
        </w:rPr>
      </w:pPr>
      <w:r w:rsidRPr="00963CCD">
        <w:rPr>
          <w:rFonts w:ascii="Verdana" w:eastAsia="Times New Roman" w:hAnsi="Verdana" w:cs="Times New Roman"/>
          <w:b/>
          <w:bCs/>
          <w:lang w:eastAsia="en-GB"/>
        </w:rPr>
        <w:t xml:space="preserve">Submission on the Content of a </w:t>
      </w:r>
      <w:r w:rsidR="00E22A29" w:rsidRPr="00963CCD">
        <w:rPr>
          <w:rFonts w:ascii="Verdana" w:eastAsia="Times New Roman" w:hAnsi="Verdana" w:cs="Times New Roman"/>
          <w:b/>
          <w:bCs/>
          <w:lang w:eastAsia="en-GB"/>
        </w:rPr>
        <w:t xml:space="preserve">Future </w:t>
      </w:r>
      <w:r w:rsidRPr="00963CCD">
        <w:rPr>
          <w:rFonts w:ascii="Verdana" w:eastAsia="Times New Roman" w:hAnsi="Verdana" w:cs="Times New Roman"/>
          <w:b/>
          <w:bCs/>
          <w:lang w:eastAsia="en-GB"/>
        </w:rPr>
        <w:t>General Comment on the Right of the Child to the Enjoyment of the Highest Attainable Standard of Health (art. 24)</w:t>
      </w:r>
    </w:p>
    <w:p w:rsidR="00A27DFB" w:rsidRPr="00963CCD" w:rsidRDefault="00EF606A" w:rsidP="008C41C0">
      <w:pPr>
        <w:spacing w:line="240" w:lineRule="auto"/>
        <w:jc w:val="both"/>
        <w:rPr>
          <w:rFonts w:cstheme="minorHAnsi"/>
          <w:b/>
          <w:u w:val="single"/>
        </w:rPr>
      </w:pPr>
      <w:r w:rsidRPr="00963CCD">
        <w:rPr>
          <w:rFonts w:cstheme="minorHAnsi"/>
          <w:b/>
          <w:u w:val="single"/>
        </w:rPr>
        <w:t>Contributors:</w:t>
      </w:r>
    </w:p>
    <w:p w:rsidR="008E0CB1" w:rsidRDefault="00194FE7" w:rsidP="008C41C0">
      <w:pPr>
        <w:spacing w:line="240" w:lineRule="auto"/>
        <w:jc w:val="both"/>
        <w:rPr>
          <w:rFonts w:cstheme="minorHAnsi"/>
        </w:rPr>
      </w:pPr>
      <w:r w:rsidRPr="00DF4F6F">
        <w:rPr>
          <w:rFonts w:cstheme="minorHAnsi"/>
        </w:rPr>
        <w:t>This</w:t>
      </w:r>
      <w:r w:rsidR="00A23B6A" w:rsidRPr="00DF4F6F">
        <w:rPr>
          <w:rFonts w:cstheme="minorHAnsi"/>
        </w:rPr>
        <w:t xml:space="preserve"> submission is jointly presented by </w:t>
      </w:r>
      <w:r w:rsidR="00CA08EC">
        <w:rPr>
          <w:rFonts w:cstheme="minorHAnsi"/>
        </w:rPr>
        <w:t>Professor</w:t>
      </w:r>
      <w:r w:rsidR="00A23B6A" w:rsidRPr="00DF4F6F">
        <w:rPr>
          <w:rFonts w:cstheme="minorHAnsi"/>
        </w:rPr>
        <w:t xml:space="preserve"> Aoife Nolan, </w:t>
      </w:r>
      <w:r w:rsidR="003D4D13" w:rsidRPr="00DF4F6F">
        <w:rPr>
          <w:rFonts w:cstheme="minorHAnsi"/>
        </w:rPr>
        <w:t>Senior Lecture</w:t>
      </w:r>
      <w:r w:rsidR="00F37867">
        <w:rPr>
          <w:rFonts w:cstheme="minorHAnsi"/>
        </w:rPr>
        <w:t xml:space="preserve">r in Law at </w:t>
      </w:r>
      <w:r w:rsidR="000F4199">
        <w:rPr>
          <w:rFonts w:cstheme="minorHAnsi"/>
        </w:rPr>
        <w:t xml:space="preserve">the Law School, </w:t>
      </w:r>
      <w:r w:rsidR="00F37867">
        <w:rPr>
          <w:rFonts w:cstheme="minorHAnsi"/>
        </w:rPr>
        <w:t>Durham University;</w:t>
      </w:r>
      <w:r w:rsidR="000F4199">
        <w:rPr>
          <w:rStyle w:val="FootnoteReference"/>
          <w:rFonts w:cstheme="minorHAnsi"/>
        </w:rPr>
        <w:footnoteReference w:id="1"/>
      </w:r>
      <w:r w:rsidR="00F37867">
        <w:rPr>
          <w:rFonts w:cstheme="minorHAnsi"/>
        </w:rPr>
        <w:t xml:space="preserve"> </w:t>
      </w:r>
      <w:r w:rsidR="003D4D13" w:rsidRPr="009B69AC">
        <w:rPr>
          <w:rFonts w:cstheme="minorHAnsi"/>
        </w:rPr>
        <w:t xml:space="preserve">Professor </w:t>
      </w:r>
      <w:r w:rsidR="00A23B6A" w:rsidRPr="009B69AC">
        <w:rPr>
          <w:rFonts w:cstheme="minorHAnsi"/>
        </w:rPr>
        <w:t>Alicia Ely Yamin</w:t>
      </w:r>
      <w:r w:rsidR="00563AED">
        <w:rPr>
          <w:rFonts w:cstheme="minorHAnsi"/>
        </w:rPr>
        <w:t>, Director of the Program on the Health Rights of Women and Children at the Francois-Xavier</w:t>
      </w:r>
      <w:r w:rsidR="00563AED" w:rsidRPr="008E0CB1">
        <w:rPr>
          <w:rFonts w:cstheme="minorHAnsi"/>
          <w:lang w:val="en-US"/>
        </w:rPr>
        <w:t xml:space="preserve"> Bagnoud Center</w:t>
      </w:r>
      <w:r w:rsidR="00563AED">
        <w:rPr>
          <w:rFonts w:cstheme="minorHAnsi"/>
        </w:rPr>
        <w:t xml:space="preserve"> for Health and Human Rights, Harvard University;</w:t>
      </w:r>
      <w:r w:rsidR="00563AED">
        <w:rPr>
          <w:rStyle w:val="FootnoteReference"/>
          <w:rFonts w:cstheme="minorHAnsi"/>
        </w:rPr>
        <w:footnoteReference w:id="2"/>
      </w:r>
      <w:r w:rsidR="00563AED" w:rsidRPr="00563AED">
        <w:rPr>
          <w:rFonts w:cstheme="minorHAnsi"/>
        </w:rPr>
        <w:t xml:space="preserve"> and Professor</w:t>
      </w:r>
      <w:r w:rsidR="009D65E6" w:rsidRPr="00DF4F6F">
        <w:rPr>
          <w:rFonts w:cstheme="minorHAnsi"/>
        </w:rPr>
        <w:t xml:space="preserve"> Benjamin Mason Meier</w:t>
      </w:r>
      <w:r w:rsidR="00AA5B51">
        <w:rPr>
          <w:rFonts w:cstheme="minorHAnsi"/>
        </w:rPr>
        <w:t>,</w:t>
      </w:r>
      <w:r w:rsidR="00A52EED" w:rsidRPr="00DF4F6F">
        <w:rPr>
          <w:rFonts w:cstheme="minorHAnsi"/>
        </w:rPr>
        <w:t xml:space="preserve"> </w:t>
      </w:r>
      <w:r w:rsidR="00AA5B51">
        <w:rPr>
          <w:rFonts w:cstheme="minorHAnsi"/>
        </w:rPr>
        <w:t>Assistant Professor of Global Health Policy</w:t>
      </w:r>
      <w:r w:rsidR="002B059D">
        <w:rPr>
          <w:rFonts w:cstheme="minorHAnsi"/>
        </w:rPr>
        <w:t xml:space="preserve"> in the Department of Public Policy</w:t>
      </w:r>
      <w:r w:rsidR="000F4199">
        <w:rPr>
          <w:rFonts w:cstheme="minorHAnsi"/>
        </w:rPr>
        <w:t>,</w:t>
      </w:r>
      <w:r w:rsidR="00AA5B51">
        <w:rPr>
          <w:rFonts w:cstheme="minorHAnsi"/>
        </w:rPr>
        <w:t xml:space="preserve"> University of North Carolina at Chapel Hill</w:t>
      </w:r>
      <w:r w:rsidR="00A52EED" w:rsidRPr="00DF4F6F">
        <w:rPr>
          <w:rFonts w:cstheme="minorHAnsi"/>
        </w:rPr>
        <w:t>.</w:t>
      </w:r>
      <w:r w:rsidR="000F4199">
        <w:rPr>
          <w:rStyle w:val="FootnoteReference"/>
          <w:rFonts w:cstheme="minorHAnsi"/>
        </w:rPr>
        <w:footnoteReference w:id="3"/>
      </w:r>
      <w:r w:rsidR="008E0CB1">
        <w:rPr>
          <w:rFonts w:cstheme="minorHAnsi"/>
        </w:rPr>
        <w:t xml:space="preserve"> All communication should be directed to: </w:t>
      </w:r>
      <w:hyperlink r:id="rId8" w:history="1">
        <w:r w:rsidR="008E0CB1" w:rsidRPr="006A2E4C">
          <w:rPr>
            <w:rStyle w:val="Hyperlink"/>
            <w:rFonts w:cstheme="minorHAnsi"/>
          </w:rPr>
          <w:t>aoife.nolan@durham.ac.uk</w:t>
        </w:r>
      </w:hyperlink>
      <w:r w:rsidR="008E0CB1">
        <w:rPr>
          <w:rFonts w:cstheme="minorHAnsi"/>
        </w:rPr>
        <w:t>.</w:t>
      </w:r>
    </w:p>
    <w:p w:rsidR="00D75E64" w:rsidRPr="00DF4F6F" w:rsidRDefault="00D75E64" w:rsidP="008C41C0">
      <w:pPr>
        <w:spacing w:line="240" w:lineRule="auto"/>
        <w:jc w:val="both"/>
        <w:rPr>
          <w:rFonts w:cstheme="minorHAnsi"/>
          <w:b/>
          <w:color w:val="000000" w:themeColor="text1"/>
          <w:u w:val="single"/>
        </w:rPr>
      </w:pPr>
      <w:r w:rsidRPr="00DF4F6F">
        <w:rPr>
          <w:rFonts w:cstheme="minorHAnsi"/>
          <w:b/>
          <w:color w:val="000000" w:themeColor="text1"/>
          <w:u w:val="single"/>
        </w:rPr>
        <w:t xml:space="preserve">Introduction </w:t>
      </w:r>
    </w:p>
    <w:p w:rsidR="00DF006C" w:rsidRPr="00DF4F6F" w:rsidRDefault="00DF006C" w:rsidP="008C41C0">
      <w:pPr>
        <w:spacing w:line="240" w:lineRule="auto"/>
        <w:jc w:val="both"/>
        <w:rPr>
          <w:rFonts w:cstheme="minorHAnsi"/>
        </w:rPr>
      </w:pPr>
      <w:r w:rsidRPr="00DF4F6F">
        <w:rPr>
          <w:rFonts w:cstheme="minorHAnsi"/>
        </w:rPr>
        <w:t xml:space="preserve">The authors applaud the leadership of the Committee in choosing to issue a General Comment regarding the right of </w:t>
      </w:r>
      <w:r w:rsidR="000F4199">
        <w:rPr>
          <w:rFonts w:cstheme="minorHAnsi"/>
        </w:rPr>
        <w:t xml:space="preserve">the </w:t>
      </w:r>
      <w:r w:rsidRPr="00DF4F6F">
        <w:rPr>
          <w:rFonts w:cstheme="minorHAnsi"/>
        </w:rPr>
        <w:t>child to the highest att</w:t>
      </w:r>
      <w:r w:rsidR="00AA5B51">
        <w:rPr>
          <w:rFonts w:cstheme="minorHAnsi"/>
        </w:rPr>
        <w:t xml:space="preserve">ainable standard of health, building </w:t>
      </w:r>
      <w:r w:rsidR="00104877">
        <w:rPr>
          <w:rFonts w:cstheme="minorHAnsi"/>
        </w:rPr>
        <w:t>on</w:t>
      </w:r>
      <w:r w:rsidR="00AA5B51">
        <w:rPr>
          <w:rFonts w:cstheme="minorHAnsi"/>
        </w:rPr>
        <w:t xml:space="preserve"> the Committee’s extensive efforts to cla</w:t>
      </w:r>
      <w:r w:rsidR="00ED0181">
        <w:rPr>
          <w:rFonts w:cstheme="minorHAnsi"/>
        </w:rPr>
        <w:t>rify the health</w:t>
      </w:r>
      <w:r w:rsidR="009D11F0">
        <w:rPr>
          <w:rFonts w:cstheme="minorHAnsi"/>
        </w:rPr>
        <w:t>-related</w:t>
      </w:r>
      <w:r w:rsidR="00ED0181">
        <w:rPr>
          <w:rFonts w:cstheme="minorHAnsi"/>
        </w:rPr>
        <w:t xml:space="preserve"> obligations of S</w:t>
      </w:r>
      <w:r w:rsidR="00AA5B51">
        <w:rPr>
          <w:rFonts w:cstheme="minorHAnsi"/>
        </w:rPr>
        <w:t xml:space="preserve">tates </w:t>
      </w:r>
      <w:r w:rsidR="002D072F">
        <w:rPr>
          <w:rFonts w:cstheme="minorHAnsi"/>
        </w:rPr>
        <w:t>P</w:t>
      </w:r>
      <w:r w:rsidR="00AA5B51">
        <w:rPr>
          <w:rFonts w:cstheme="minorHAnsi"/>
        </w:rPr>
        <w:t>arties</w:t>
      </w:r>
      <w:r w:rsidR="00104877">
        <w:rPr>
          <w:rFonts w:cstheme="minorHAnsi"/>
        </w:rPr>
        <w:t>.</w:t>
      </w:r>
      <w:r w:rsidR="00AA5B51">
        <w:rPr>
          <w:rStyle w:val="FootnoteReference"/>
          <w:rFonts w:cstheme="minorHAnsi"/>
        </w:rPr>
        <w:footnoteReference w:id="4"/>
      </w:r>
      <w:r w:rsidR="00AA5B51">
        <w:rPr>
          <w:rFonts w:cstheme="minorHAnsi"/>
        </w:rPr>
        <w:t xml:space="preserve"> </w:t>
      </w:r>
      <w:r w:rsidR="00104877">
        <w:rPr>
          <w:rFonts w:cstheme="minorHAnsi"/>
        </w:rPr>
        <w:t>W</w:t>
      </w:r>
      <w:r w:rsidR="00AA5B51">
        <w:rPr>
          <w:rFonts w:cstheme="minorHAnsi"/>
        </w:rPr>
        <w:t>e are</w:t>
      </w:r>
      <w:r w:rsidRPr="008E0CB1">
        <w:rPr>
          <w:rFonts w:cstheme="minorHAnsi"/>
          <w:b/>
          <w:lang w:val="en-US"/>
        </w:rPr>
        <w:t xml:space="preserve"> </w:t>
      </w:r>
      <w:r w:rsidRPr="008E0CB1">
        <w:rPr>
          <w:rFonts w:cstheme="minorHAnsi"/>
          <w:lang w:val="en-US"/>
        </w:rPr>
        <w:t>honored</w:t>
      </w:r>
      <w:r w:rsidRPr="00DF4F6F">
        <w:rPr>
          <w:rFonts w:cstheme="minorHAnsi"/>
        </w:rPr>
        <w:t xml:space="preserve"> to have this opportunity to share some thoughts with the Committee regarding the normative obligations relating to Article 24 of the Convention</w:t>
      </w:r>
      <w:r w:rsidRPr="00DF4F6F">
        <w:rPr>
          <w:rFonts w:cstheme="minorHAnsi"/>
          <w:color w:val="000000" w:themeColor="text1"/>
        </w:rPr>
        <w:t xml:space="preserve"> on the Rights of the Child (CRC)</w:t>
      </w:r>
      <w:r w:rsidRPr="00DF4F6F">
        <w:rPr>
          <w:rFonts w:cstheme="minorHAnsi"/>
        </w:rPr>
        <w:t>.</w:t>
      </w:r>
      <w:r w:rsidR="00EA0054">
        <w:rPr>
          <w:rStyle w:val="FootnoteReference"/>
          <w:rFonts w:cstheme="minorHAnsi"/>
        </w:rPr>
        <w:footnoteReference w:id="5"/>
      </w:r>
      <w:r w:rsidRPr="00DF4F6F">
        <w:rPr>
          <w:rFonts w:cstheme="minorHAnsi"/>
        </w:rPr>
        <w:t xml:space="preserve">  </w:t>
      </w:r>
    </w:p>
    <w:p w:rsidR="00EF31CC" w:rsidRPr="00DF4F6F" w:rsidRDefault="00EF31CC" w:rsidP="008C41C0">
      <w:pPr>
        <w:spacing w:line="240" w:lineRule="auto"/>
        <w:jc w:val="both"/>
        <w:rPr>
          <w:rFonts w:cstheme="minorHAnsi"/>
          <w:b/>
        </w:rPr>
      </w:pPr>
      <w:r w:rsidRPr="00DF4F6F">
        <w:rPr>
          <w:rFonts w:cstheme="minorHAnsi"/>
        </w:rPr>
        <w:t xml:space="preserve">Despite the many statements and rich </w:t>
      </w:r>
      <w:r w:rsidR="007653BA">
        <w:rPr>
          <w:rFonts w:cstheme="minorHAnsi"/>
        </w:rPr>
        <w:t xml:space="preserve">domestic and supra-national </w:t>
      </w:r>
      <w:r w:rsidRPr="00DF4F6F">
        <w:rPr>
          <w:rFonts w:cstheme="minorHAnsi"/>
        </w:rPr>
        <w:t xml:space="preserve">jurisprudence regarding health rights, </w:t>
      </w:r>
      <w:r w:rsidR="00AA5B51">
        <w:rPr>
          <w:rFonts w:cstheme="minorHAnsi"/>
        </w:rPr>
        <w:t xml:space="preserve">child </w:t>
      </w:r>
      <w:r w:rsidRPr="00DF4F6F">
        <w:rPr>
          <w:rFonts w:cstheme="minorHAnsi"/>
        </w:rPr>
        <w:t xml:space="preserve">health continues to be subject to neglect and political manipulation at both national and international levels. </w:t>
      </w:r>
      <w:r w:rsidR="008B4FA5">
        <w:rPr>
          <w:rFonts w:cstheme="minorHAnsi"/>
        </w:rPr>
        <w:t>Thus</w:t>
      </w:r>
      <w:r w:rsidRPr="00DF4F6F">
        <w:rPr>
          <w:rFonts w:cstheme="minorHAnsi"/>
        </w:rPr>
        <w:t xml:space="preserve">, it is important that a robust understanding of </w:t>
      </w:r>
      <w:r w:rsidR="00AA5B51">
        <w:rPr>
          <w:rFonts w:cstheme="minorHAnsi"/>
        </w:rPr>
        <w:t>the child’s right</w:t>
      </w:r>
      <w:r w:rsidRPr="00DF4F6F">
        <w:rPr>
          <w:rFonts w:cstheme="minorHAnsi"/>
        </w:rPr>
        <w:t xml:space="preserve"> to health be firmly anchored in an authoritative interpretation of the binding legal commitments </w:t>
      </w:r>
      <w:r w:rsidR="00AA5B51">
        <w:rPr>
          <w:rFonts w:cstheme="minorHAnsi"/>
        </w:rPr>
        <w:t>undertaken by</w:t>
      </w:r>
      <w:r w:rsidRPr="00DF4F6F">
        <w:rPr>
          <w:rFonts w:cstheme="minorHAnsi"/>
        </w:rPr>
        <w:t xml:space="preserve"> States </w:t>
      </w:r>
      <w:r w:rsidR="002D072F">
        <w:rPr>
          <w:rFonts w:cstheme="minorHAnsi"/>
        </w:rPr>
        <w:t>P</w:t>
      </w:r>
      <w:r w:rsidRPr="00DF4F6F">
        <w:rPr>
          <w:rFonts w:cstheme="minorHAnsi"/>
        </w:rPr>
        <w:t xml:space="preserve">arties to the </w:t>
      </w:r>
      <w:r w:rsidRPr="00DF4F6F">
        <w:rPr>
          <w:rFonts w:cstheme="minorHAnsi"/>
          <w:color w:val="000000" w:themeColor="text1"/>
        </w:rPr>
        <w:t>CRC</w:t>
      </w:r>
      <w:r w:rsidR="009E37A3">
        <w:rPr>
          <w:rFonts w:cstheme="minorHAnsi"/>
          <w:color w:val="000000" w:themeColor="text1"/>
        </w:rPr>
        <w:t>, facilitating the</w:t>
      </w:r>
      <w:r w:rsidR="0025144D">
        <w:rPr>
          <w:rFonts w:cstheme="minorHAnsi"/>
          <w:color w:val="000000" w:themeColor="text1"/>
        </w:rPr>
        <w:t xml:space="preserve"> delineation and</w:t>
      </w:r>
      <w:r w:rsidR="009E37A3">
        <w:rPr>
          <w:rFonts w:cstheme="minorHAnsi"/>
          <w:color w:val="000000" w:themeColor="text1"/>
        </w:rPr>
        <w:t xml:space="preserve"> development of </w:t>
      </w:r>
      <w:r w:rsidR="009E37A3" w:rsidRPr="00DF4F6F">
        <w:rPr>
          <w:rFonts w:cstheme="minorHAnsi"/>
          <w:i/>
          <w:lang w:val="en-US"/>
        </w:rPr>
        <w:t>child rights-specific</w:t>
      </w:r>
      <w:r w:rsidR="009E37A3">
        <w:rPr>
          <w:rFonts w:cstheme="minorHAnsi"/>
          <w:i/>
          <w:lang w:val="en-US"/>
        </w:rPr>
        <w:t xml:space="preserve"> </w:t>
      </w:r>
      <w:r w:rsidR="009E37A3">
        <w:rPr>
          <w:rFonts w:cstheme="minorHAnsi"/>
          <w:lang w:val="en-US"/>
        </w:rPr>
        <w:t>health obligations</w:t>
      </w:r>
      <w:r w:rsidRPr="00DF4F6F">
        <w:rPr>
          <w:rFonts w:cstheme="minorHAnsi"/>
        </w:rPr>
        <w:t xml:space="preserve">.  </w:t>
      </w:r>
    </w:p>
    <w:p w:rsidR="00917DEB" w:rsidRDefault="000A2CE9" w:rsidP="008C41C0">
      <w:pPr>
        <w:spacing w:line="240" w:lineRule="auto"/>
        <w:jc w:val="both"/>
        <w:rPr>
          <w:rFonts w:cstheme="minorHAnsi"/>
        </w:rPr>
      </w:pPr>
      <w:r w:rsidRPr="00DF4F6F">
        <w:rPr>
          <w:rFonts w:cstheme="minorHAnsi"/>
        </w:rPr>
        <w:t>F</w:t>
      </w:r>
      <w:r w:rsidR="00EF31CC" w:rsidRPr="00DF4F6F">
        <w:rPr>
          <w:rFonts w:cstheme="minorHAnsi"/>
        </w:rPr>
        <w:t xml:space="preserve">or this General Comment to add value </w:t>
      </w:r>
      <w:r w:rsidR="00AA5B51">
        <w:rPr>
          <w:rFonts w:cstheme="minorHAnsi"/>
        </w:rPr>
        <w:t xml:space="preserve">to the normative development of health rights, </w:t>
      </w:r>
      <w:r w:rsidR="00EF31CC" w:rsidRPr="00DF4F6F">
        <w:rPr>
          <w:rFonts w:cstheme="minorHAnsi"/>
        </w:rPr>
        <w:t>it is imperative that the Committee</w:t>
      </w:r>
      <w:r w:rsidR="007A2A18">
        <w:rPr>
          <w:rFonts w:cstheme="minorHAnsi"/>
        </w:rPr>
        <w:t xml:space="preserve"> forcefully reaffirm the</w:t>
      </w:r>
      <w:r w:rsidR="008F459D" w:rsidRPr="00DF4F6F">
        <w:rPr>
          <w:rFonts w:cstheme="minorHAnsi"/>
        </w:rPr>
        <w:t xml:space="preserve"> broad array of standards that have already been established with respect to health rights obligations</w:t>
      </w:r>
      <w:r w:rsidR="008F459D">
        <w:rPr>
          <w:rFonts w:cstheme="minorHAnsi"/>
        </w:rPr>
        <w:t xml:space="preserve"> and clarify dimensions that remain subject to contestation. It </w:t>
      </w:r>
      <w:r w:rsidR="00D74F9E">
        <w:rPr>
          <w:rFonts w:cstheme="minorHAnsi"/>
        </w:rPr>
        <w:t>m</w:t>
      </w:r>
      <w:r w:rsidR="008F459D">
        <w:rPr>
          <w:rFonts w:cstheme="minorHAnsi"/>
        </w:rPr>
        <w:t xml:space="preserve">ust also </w:t>
      </w:r>
      <w:r w:rsidR="008F459D" w:rsidRPr="00DF4F6F">
        <w:rPr>
          <w:rFonts w:cstheme="minorHAnsi"/>
        </w:rPr>
        <w:t>signal where the right to health of children differs in important normative ways from that of adults</w:t>
      </w:r>
      <w:r w:rsidR="008F459D">
        <w:rPr>
          <w:rFonts w:cstheme="minorHAnsi"/>
        </w:rPr>
        <w:t xml:space="preserve">. </w:t>
      </w:r>
      <w:r w:rsidR="00DE23AA">
        <w:rPr>
          <w:rFonts w:cstheme="minorHAnsi"/>
        </w:rPr>
        <w:t>Finally</w:t>
      </w:r>
      <w:r w:rsidR="008F459D">
        <w:rPr>
          <w:rFonts w:cstheme="minorHAnsi"/>
        </w:rPr>
        <w:t>,</w:t>
      </w:r>
      <w:r w:rsidR="008F459D" w:rsidRPr="00DF4F6F">
        <w:rPr>
          <w:rFonts w:cstheme="minorHAnsi"/>
        </w:rPr>
        <w:t xml:space="preserve"> </w:t>
      </w:r>
      <w:r w:rsidR="00BA5B09">
        <w:rPr>
          <w:rFonts w:cstheme="minorHAnsi"/>
        </w:rPr>
        <w:t xml:space="preserve">the General Comment </w:t>
      </w:r>
      <w:r w:rsidR="00F247D9">
        <w:rPr>
          <w:rFonts w:cstheme="minorHAnsi"/>
        </w:rPr>
        <w:t>enables the Committee</w:t>
      </w:r>
      <w:r w:rsidR="008F459D" w:rsidRPr="00DF4F6F">
        <w:rPr>
          <w:rFonts w:cstheme="minorHAnsi"/>
        </w:rPr>
        <w:t xml:space="preserve"> to update critical areas and fill gaps </w:t>
      </w:r>
      <w:r w:rsidR="008F459D">
        <w:rPr>
          <w:rFonts w:cstheme="minorHAnsi"/>
        </w:rPr>
        <w:t xml:space="preserve">in the normative framework for the child’s right to health </w:t>
      </w:r>
      <w:r w:rsidR="008F459D" w:rsidRPr="00DF4F6F">
        <w:rPr>
          <w:rFonts w:cstheme="minorHAnsi"/>
        </w:rPr>
        <w:t xml:space="preserve">where they exist.  </w:t>
      </w:r>
      <w:r w:rsidR="008F459D">
        <w:rPr>
          <w:rFonts w:cstheme="minorHAnsi"/>
        </w:rPr>
        <w:lastRenderedPageBreak/>
        <w:t>This includes emphasi</w:t>
      </w:r>
      <w:r w:rsidR="00917DEB">
        <w:rPr>
          <w:rFonts w:cstheme="minorHAnsi"/>
        </w:rPr>
        <w:t>z</w:t>
      </w:r>
      <w:r w:rsidR="008F459D">
        <w:rPr>
          <w:rFonts w:cstheme="minorHAnsi"/>
        </w:rPr>
        <w:t xml:space="preserve">ing </w:t>
      </w:r>
      <w:r w:rsidR="000B0356" w:rsidRPr="000B0356">
        <w:rPr>
          <w:rFonts w:cstheme="minorHAnsi"/>
        </w:rPr>
        <w:t xml:space="preserve">cross-cutting principles, </w:t>
      </w:r>
      <w:r w:rsidR="005D0E04">
        <w:rPr>
          <w:rFonts w:cstheme="minorHAnsi"/>
        </w:rPr>
        <w:t>such as</w:t>
      </w:r>
      <w:r w:rsidR="00C775B0">
        <w:rPr>
          <w:rFonts w:cstheme="minorHAnsi"/>
        </w:rPr>
        <w:t xml:space="preserve"> </w:t>
      </w:r>
      <w:r w:rsidR="000B0356" w:rsidRPr="000B0356">
        <w:rPr>
          <w:rFonts w:cstheme="minorHAnsi"/>
        </w:rPr>
        <w:t>accountability, participation and non-discrimination/equality</w:t>
      </w:r>
      <w:r w:rsidR="00EF31CC" w:rsidRPr="00DF4F6F">
        <w:rPr>
          <w:rFonts w:cstheme="minorHAnsi"/>
        </w:rPr>
        <w:t xml:space="preserve">.  </w:t>
      </w:r>
      <w:r w:rsidR="005C3215">
        <w:rPr>
          <w:rFonts w:cstheme="minorHAnsi"/>
        </w:rPr>
        <w:t xml:space="preserve">Our </w:t>
      </w:r>
      <w:r w:rsidR="00991000">
        <w:rPr>
          <w:rFonts w:cstheme="minorHAnsi"/>
        </w:rPr>
        <w:t xml:space="preserve">submission seeks to provide guidance to the Committee </w:t>
      </w:r>
      <w:r w:rsidR="008F459D">
        <w:rPr>
          <w:rFonts w:cstheme="minorHAnsi"/>
        </w:rPr>
        <w:t xml:space="preserve">on </w:t>
      </w:r>
      <w:r w:rsidR="00B36424">
        <w:rPr>
          <w:rFonts w:cstheme="minorHAnsi"/>
        </w:rPr>
        <w:t>a</w:t>
      </w:r>
      <w:r w:rsidR="005C3215">
        <w:rPr>
          <w:rFonts w:cstheme="minorHAnsi"/>
        </w:rPr>
        <w:t xml:space="preserve"> range of </w:t>
      </w:r>
      <w:r w:rsidR="008F459D">
        <w:rPr>
          <w:rFonts w:cstheme="minorHAnsi"/>
        </w:rPr>
        <w:t>these issues</w:t>
      </w:r>
      <w:r w:rsidR="00991000">
        <w:rPr>
          <w:rFonts w:cstheme="minorHAnsi"/>
        </w:rPr>
        <w:t xml:space="preserve">. </w:t>
      </w:r>
    </w:p>
    <w:p w:rsidR="00D5222C" w:rsidRPr="00A05F3C" w:rsidRDefault="00D5222C" w:rsidP="008C41C0">
      <w:pPr>
        <w:spacing w:line="240" w:lineRule="auto"/>
        <w:jc w:val="both"/>
        <w:rPr>
          <w:rFonts w:cstheme="minorHAnsi"/>
          <w:b/>
          <w:u w:val="single"/>
        </w:rPr>
      </w:pPr>
      <w:r w:rsidRPr="00A05F3C">
        <w:rPr>
          <w:rFonts w:cstheme="minorHAnsi"/>
          <w:b/>
          <w:u w:val="single"/>
        </w:rPr>
        <w:t xml:space="preserve">The General Comment </w:t>
      </w:r>
      <w:r w:rsidR="00837883">
        <w:rPr>
          <w:rFonts w:cstheme="minorHAnsi"/>
          <w:b/>
          <w:u w:val="single"/>
        </w:rPr>
        <w:t>should</w:t>
      </w:r>
      <w:r w:rsidRPr="00A05F3C">
        <w:rPr>
          <w:rFonts w:cstheme="minorHAnsi"/>
          <w:b/>
          <w:u w:val="single"/>
        </w:rPr>
        <w:t xml:space="preserve"> clarify the nature of governmental </w:t>
      </w:r>
      <w:r w:rsidR="00E338BC">
        <w:rPr>
          <w:rFonts w:cstheme="minorHAnsi"/>
          <w:b/>
          <w:u w:val="single"/>
        </w:rPr>
        <w:t xml:space="preserve">as well as other </w:t>
      </w:r>
      <w:r w:rsidRPr="00A05F3C">
        <w:rPr>
          <w:rFonts w:cstheme="minorHAnsi"/>
          <w:b/>
          <w:u w:val="single"/>
        </w:rPr>
        <w:t xml:space="preserve">obligations with respect to children’s ESCR </w:t>
      </w:r>
      <w:r w:rsidR="00AA5B51">
        <w:rPr>
          <w:rFonts w:cstheme="minorHAnsi"/>
          <w:b/>
          <w:u w:val="single"/>
        </w:rPr>
        <w:t>in the context of health rights</w:t>
      </w:r>
    </w:p>
    <w:p w:rsidR="00A56260" w:rsidRDefault="00A110F7" w:rsidP="008C41C0">
      <w:pPr>
        <w:spacing w:line="240" w:lineRule="auto"/>
        <w:jc w:val="both"/>
        <w:rPr>
          <w:rFonts w:cstheme="minorHAnsi"/>
          <w:lang w:val="en-US"/>
        </w:rPr>
      </w:pPr>
      <w:r w:rsidRPr="00DF4F6F">
        <w:rPr>
          <w:rFonts w:cstheme="minorHAnsi"/>
        </w:rPr>
        <w:t xml:space="preserve">This General Comment is welcome as it provides the </w:t>
      </w:r>
      <w:r w:rsidRPr="00DF4F6F">
        <w:rPr>
          <w:rFonts w:cstheme="minorHAnsi"/>
          <w:lang w:val="en-US"/>
        </w:rPr>
        <w:t xml:space="preserve">Committee with an opportunity to engage with the substantive obligations imposed by Article 4 </w:t>
      </w:r>
      <w:r>
        <w:rPr>
          <w:rFonts w:cstheme="minorHAnsi"/>
          <w:lang w:val="en-US"/>
        </w:rPr>
        <w:t>of the CRC, allowing the Committee</w:t>
      </w:r>
      <w:r w:rsidRPr="00DF4F6F">
        <w:rPr>
          <w:rFonts w:cstheme="minorHAnsi"/>
          <w:lang w:val="en-US"/>
        </w:rPr>
        <w:t xml:space="preserve"> to adopt a coherent, comprehensive </w:t>
      </w:r>
      <w:r>
        <w:rPr>
          <w:rFonts w:cstheme="minorHAnsi"/>
          <w:lang w:val="en-US"/>
        </w:rPr>
        <w:t>framework for the progressive realization of economic, social and cultural (ESC) rights</w:t>
      </w:r>
      <w:r w:rsidR="00B077B7">
        <w:rPr>
          <w:rFonts w:cstheme="minorHAnsi"/>
          <w:lang w:val="en-US"/>
        </w:rPr>
        <w:t xml:space="preserve"> </w:t>
      </w:r>
      <w:r w:rsidR="00C37321">
        <w:rPr>
          <w:rFonts w:cstheme="minorHAnsi"/>
          <w:lang w:val="en-US"/>
        </w:rPr>
        <w:t>set out in</w:t>
      </w:r>
      <w:r w:rsidR="00B077B7">
        <w:rPr>
          <w:rFonts w:cstheme="minorHAnsi"/>
          <w:lang w:val="en-US"/>
        </w:rPr>
        <w:t xml:space="preserve"> the Convention</w:t>
      </w:r>
      <w:r w:rsidRPr="00DF4F6F">
        <w:rPr>
          <w:rFonts w:cstheme="minorHAnsi"/>
          <w:lang w:val="en-US"/>
        </w:rPr>
        <w:t xml:space="preserve">.  </w:t>
      </w:r>
      <w:r w:rsidR="007C3466" w:rsidRPr="00BB429F">
        <w:rPr>
          <w:rFonts w:cstheme="minorHAnsi"/>
          <w:lang w:val="en-US"/>
        </w:rPr>
        <w:t>The Committee has previously linked the o</w:t>
      </w:r>
      <w:r>
        <w:rPr>
          <w:rFonts w:cstheme="minorHAnsi"/>
          <w:lang w:val="en-US"/>
        </w:rPr>
        <w:t>bligations imposed by Article 4</w:t>
      </w:r>
      <w:r w:rsidR="00367E21" w:rsidRPr="00BB429F">
        <w:rPr>
          <w:rFonts w:cstheme="minorHAnsi"/>
          <w:lang w:val="en-US"/>
        </w:rPr>
        <w:t xml:space="preserve"> </w:t>
      </w:r>
      <w:r w:rsidR="007C3466" w:rsidRPr="00BB429F">
        <w:rPr>
          <w:rFonts w:cstheme="minorHAnsi"/>
          <w:lang w:val="en-US"/>
        </w:rPr>
        <w:t>with those imposed by Article 2(1) of the International Covenant on Economic, Social and Cultural Rights</w:t>
      </w:r>
      <w:r w:rsidR="00FE326E" w:rsidRPr="00BB429F">
        <w:rPr>
          <w:rFonts w:cstheme="minorHAnsi"/>
          <w:lang w:val="en-US"/>
        </w:rPr>
        <w:t xml:space="preserve"> (ICESCR)</w:t>
      </w:r>
      <w:r w:rsidR="007C3466" w:rsidRPr="00BB429F">
        <w:rPr>
          <w:rFonts w:cstheme="minorHAnsi"/>
          <w:lang w:val="en-US"/>
        </w:rPr>
        <w:t>.</w:t>
      </w:r>
      <w:r w:rsidR="007C3466" w:rsidRPr="00BB429F">
        <w:rPr>
          <w:rStyle w:val="FootnoteReference"/>
          <w:rFonts w:cstheme="minorHAnsi"/>
          <w:lang w:val="en-US"/>
        </w:rPr>
        <w:footnoteReference w:id="6"/>
      </w:r>
      <w:r w:rsidR="007C3466" w:rsidRPr="00BB429F">
        <w:rPr>
          <w:rFonts w:cstheme="minorHAnsi"/>
          <w:lang w:val="en-US"/>
        </w:rPr>
        <w:t xml:space="preserve"> </w:t>
      </w:r>
      <w:r w:rsidR="009E37A3">
        <w:rPr>
          <w:rFonts w:cstheme="minorHAnsi"/>
          <w:lang w:val="en-US"/>
        </w:rPr>
        <w:t xml:space="preserve"> </w:t>
      </w:r>
      <w:r w:rsidR="00C60758">
        <w:rPr>
          <w:rFonts w:cstheme="minorHAnsi"/>
          <w:lang w:val="en-US"/>
        </w:rPr>
        <w:t>Such an appro</w:t>
      </w:r>
      <w:r w:rsidR="008E20C9">
        <w:rPr>
          <w:rFonts w:cstheme="minorHAnsi"/>
          <w:lang w:val="en-US"/>
        </w:rPr>
        <w:t>a</w:t>
      </w:r>
      <w:r w:rsidR="00C60758">
        <w:rPr>
          <w:rFonts w:cstheme="minorHAnsi"/>
          <w:lang w:val="en-US"/>
        </w:rPr>
        <w:t>ch</w:t>
      </w:r>
      <w:r w:rsidR="00A56260" w:rsidRPr="00BB429F">
        <w:rPr>
          <w:rFonts w:cstheme="minorHAnsi"/>
          <w:lang w:val="en-US"/>
        </w:rPr>
        <w:t xml:space="preserve"> is desirable in terms of ensu</w:t>
      </w:r>
      <w:r w:rsidR="00B37A80">
        <w:rPr>
          <w:rFonts w:cstheme="minorHAnsi"/>
          <w:lang w:val="en-US"/>
        </w:rPr>
        <w:t>r</w:t>
      </w:r>
      <w:r w:rsidR="00A56260" w:rsidRPr="00BB429F">
        <w:rPr>
          <w:rFonts w:cstheme="minorHAnsi"/>
          <w:lang w:val="en-US"/>
        </w:rPr>
        <w:t xml:space="preserve">ing consistency in approach to ESCR across the UN treaty-monitoring body system. However, this General Comment provides an opportunity for the Committee to more fully </w:t>
      </w:r>
      <w:r w:rsidR="003873FE">
        <w:rPr>
          <w:rFonts w:cstheme="minorHAnsi"/>
          <w:lang w:val="en-US"/>
        </w:rPr>
        <w:t>consider</w:t>
      </w:r>
      <w:r w:rsidR="00A56260" w:rsidRPr="00BB429F">
        <w:rPr>
          <w:rFonts w:cstheme="minorHAnsi"/>
          <w:lang w:val="en-US"/>
        </w:rPr>
        <w:t xml:space="preserve"> contested issues that exist in relation to that </w:t>
      </w:r>
      <w:r w:rsidR="00D46CA1">
        <w:rPr>
          <w:rFonts w:cstheme="minorHAnsi"/>
          <w:lang w:val="en-US"/>
        </w:rPr>
        <w:t xml:space="preserve">pre-existing </w:t>
      </w:r>
      <w:r w:rsidR="00A56260" w:rsidRPr="00BB429F">
        <w:rPr>
          <w:rFonts w:cstheme="minorHAnsi"/>
          <w:lang w:val="en-US"/>
        </w:rPr>
        <w:t>framework.</w:t>
      </w:r>
      <w:r w:rsidR="00D74F9E">
        <w:rPr>
          <w:rStyle w:val="FootnoteReference"/>
          <w:rFonts w:cstheme="minorHAnsi"/>
        </w:rPr>
        <w:footnoteReference w:id="7"/>
      </w:r>
      <w:r w:rsidR="00A56260" w:rsidRPr="00DF4F6F">
        <w:rPr>
          <w:rFonts w:cstheme="minorHAnsi"/>
          <w:lang w:val="en-US"/>
        </w:rPr>
        <w:t xml:space="preserve">  </w:t>
      </w:r>
      <w:r w:rsidR="00A56260" w:rsidRPr="00DF4F6F">
        <w:rPr>
          <w:rFonts w:cstheme="minorHAnsi"/>
        </w:rPr>
        <w:t>Given that the Committee wishes to include a section on the development and use of a set of structur</w:t>
      </w:r>
      <w:r w:rsidR="00B37A80">
        <w:rPr>
          <w:rFonts w:cstheme="minorHAnsi"/>
        </w:rPr>
        <w:t>e</w:t>
      </w:r>
      <w:r w:rsidR="00A56260" w:rsidRPr="00DF4F6F">
        <w:rPr>
          <w:rFonts w:cstheme="minorHAnsi"/>
        </w:rPr>
        <w:t>, process and outcome indicators in the proposed General Comment, it is vital that it ensure that these indicators are based on clearly delineated obligations.</w:t>
      </w:r>
    </w:p>
    <w:p w:rsidR="000E0DF5" w:rsidRPr="005A4232" w:rsidRDefault="00431751" w:rsidP="008C41C0">
      <w:pPr>
        <w:spacing w:line="240" w:lineRule="auto"/>
        <w:jc w:val="both"/>
        <w:rPr>
          <w:rFonts w:cstheme="minorHAnsi"/>
          <w:color w:val="000000"/>
        </w:rPr>
      </w:pPr>
      <w:r w:rsidRPr="00A56260">
        <w:rPr>
          <w:rFonts w:cstheme="minorHAnsi"/>
        </w:rPr>
        <w:t xml:space="preserve">In this regard, the Committee should clarify </w:t>
      </w:r>
      <w:r w:rsidR="00A110F7" w:rsidRPr="00A56260">
        <w:rPr>
          <w:rFonts w:cstheme="minorHAnsi"/>
        </w:rPr>
        <w:t>the differences b</w:t>
      </w:r>
      <w:r w:rsidR="00A110F7">
        <w:rPr>
          <w:rFonts w:cstheme="minorHAnsi"/>
        </w:rPr>
        <w:t>etween the progressive realization of</w:t>
      </w:r>
      <w:r w:rsidRPr="009C6DED">
        <w:rPr>
          <w:rFonts w:cstheme="minorHAnsi"/>
        </w:rPr>
        <w:t xml:space="preserve"> ESC rights of children and adults. For instance, in keeping with some leading national jurisprudence, the Committee might expand upon </w:t>
      </w:r>
      <w:r w:rsidR="0043798B" w:rsidRPr="009C6DED">
        <w:rPr>
          <w:rFonts w:cstheme="minorHAnsi"/>
        </w:rPr>
        <w:t>the child-specific</w:t>
      </w:r>
      <w:r w:rsidRPr="009C6DED">
        <w:rPr>
          <w:rFonts w:cstheme="minorHAnsi"/>
        </w:rPr>
        <w:t xml:space="preserve"> obligations</w:t>
      </w:r>
      <w:r w:rsidR="0043798B" w:rsidRPr="009C6DED">
        <w:rPr>
          <w:rFonts w:cstheme="minorHAnsi"/>
        </w:rPr>
        <w:t xml:space="preserve"> that</w:t>
      </w:r>
      <w:r w:rsidRPr="009C6DED">
        <w:rPr>
          <w:rFonts w:cstheme="minorHAnsi"/>
        </w:rPr>
        <w:t xml:space="preserve"> are n</w:t>
      </w:r>
      <w:r w:rsidR="00AA5B51" w:rsidRPr="009C6DED">
        <w:rPr>
          <w:rFonts w:cstheme="minorHAnsi"/>
        </w:rPr>
        <w:t>ot</w:t>
      </w:r>
      <w:r w:rsidRPr="009C6DED">
        <w:rPr>
          <w:rFonts w:cstheme="minorHAnsi"/>
        </w:rPr>
        <w:t xml:space="preserve"> subject to progressive realization.</w:t>
      </w:r>
      <w:r w:rsidRPr="009C6DED">
        <w:rPr>
          <w:rStyle w:val="FootnoteReference"/>
          <w:rFonts w:cstheme="minorHAnsi"/>
        </w:rPr>
        <w:footnoteReference w:id="8"/>
      </w:r>
      <w:r w:rsidRPr="00663250">
        <w:rPr>
          <w:rFonts w:cstheme="minorHAnsi"/>
          <w:b/>
        </w:rPr>
        <w:t xml:space="preserve"> </w:t>
      </w:r>
      <w:r w:rsidR="00FA7C39">
        <w:rPr>
          <w:rFonts w:cstheme="minorHAnsi"/>
          <w:b/>
        </w:rPr>
        <w:t xml:space="preserve"> </w:t>
      </w:r>
      <w:r w:rsidR="009C6DED">
        <w:rPr>
          <w:rFonts w:cstheme="minorHAnsi"/>
          <w:color w:val="000000"/>
        </w:rPr>
        <w:t>I</w:t>
      </w:r>
      <w:r w:rsidR="009C6DED" w:rsidRPr="00DF4F6F">
        <w:rPr>
          <w:rFonts w:cstheme="minorHAnsi"/>
          <w:color w:val="000000"/>
        </w:rPr>
        <w:t xml:space="preserve">n keeping with </w:t>
      </w:r>
      <w:r w:rsidR="009C6DED">
        <w:rPr>
          <w:rFonts w:cstheme="minorHAnsi"/>
          <w:color w:val="000000"/>
        </w:rPr>
        <w:t xml:space="preserve">the </w:t>
      </w:r>
      <w:r w:rsidR="008F459D">
        <w:rPr>
          <w:rFonts w:cstheme="minorHAnsi"/>
          <w:color w:val="000000"/>
        </w:rPr>
        <w:t xml:space="preserve">UN Committee on Economic, Social and Cultural </w:t>
      </w:r>
      <w:r w:rsidR="00DE23AA">
        <w:rPr>
          <w:rFonts w:cstheme="minorHAnsi"/>
          <w:color w:val="000000"/>
        </w:rPr>
        <w:t>Rights’</w:t>
      </w:r>
      <w:r w:rsidR="009C6DED">
        <w:rPr>
          <w:rFonts w:cstheme="minorHAnsi"/>
          <w:color w:val="000000"/>
        </w:rPr>
        <w:t xml:space="preserve"> General Comments 3</w:t>
      </w:r>
      <w:r w:rsidR="000D3B39">
        <w:rPr>
          <w:rStyle w:val="FootnoteReference"/>
          <w:rFonts w:cstheme="minorHAnsi"/>
          <w:color w:val="000000"/>
        </w:rPr>
        <w:footnoteReference w:id="9"/>
      </w:r>
      <w:r w:rsidR="009C6DED">
        <w:rPr>
          <w:rFonts w:cstheme="minorHAnsi"/>
          <w:color w:val="000000"/>
        </w:rPr>
        <w:t xml:space="preserve"> and 14, this Gener</w:t>
      </w:r>
      <w:r w:rsidR="005A4232">
        <w:rPr>
          <w:rFonts w:cstheme="minorHAnsi"/>
          <w:color w:val="000000"/>
        </w:rPr>
        <w:t>al Comment should reaffirm th</w:t>
      </w:r>
      <w:r w:rsidR="008637DA">
        <w:rPr>
          <w:rFonts w:cstheme="minorHAnsi"/>
          <w:color w:val="000000"/>
        </w:rPr>
        <w:t>e</w:t>
      </w:r>
      <w:r w:rsidR="009C6DED">
        <w:rPr>
          <w:rFonts w:cstheme="minorHAnsi"/>
          <w:color w:val="000000"/>
        </w:rPr>
        <w:t xml:space="preserve"> immediate obligations</w:t>
      </w:r>
      <w:r w:rsidR="009C6DED" w:rsidRPr="00DF4F6F">
        <w:rPr>
          <w:rFonts w:cstheme="minorHAnsi"/>
          <w:color w:val="000000"/>
        </w:rPr>
        <w:t xml:space="preserve"> </w:t>
      </w:r>
      <w:r w:rsidR="005361A3">
        <w:rPr>
          <w:rFonts w:cstheme="minorHAnsi"/>
          <w:color w:val="000000"/>
        </w:rPr>
        <w:t xml:space="preserve">of </w:t>
      </w:r>
      <w:r w:rsidR="00EE3C56">
        <w:rPr>
          <w:rFonts w:cstheme="minorHAnsi"/>
          <w:color w:val="000000"/>
        </w:rPr>
        <w:t>S</w:t>
      </w:r>
      <w:r w:rsidR="009C6DED" w:rsidRPr="00DF4F6F">
        <w:rPr>
          <w:rFonts w:cstheme="minorHAnsi"/>
          <w:color w:val="000000"/>
        </w:rPr>
        <w:t xml:space="preserve">tates </w:t>
      </w:r>
      <w:r w:rsidR="002D072F">
        <w:rPr>
          <w:rFonts w:cstheme="minorHAnsi"/>
          <w:color w:val="000000"/>
        </w:rPr>
        <w:t>P</w:t>
      </w:r>
      <w:r w:rsidR="00EE3C56">
        <w:rPr>
          <w:rFonts w:cstheme="minorHAnsi"/>
          <w:color w:val="000000"/>
        </w:rPr>
        <w:t xml:space="preserve">arties </w:t>
      </w:r>
      <w:r w:rsidR="009C6DED" w:rsidRPr="00DF4F6F">
        <w:rPr>
          <w:rFonts w:cstheme="minorHAnsi"/>
          <w:color w:val="000000"/>
        </w:rPr>
        <w:t xml:space="preserve">to prioritize the universal attainment of </w:t>
      </w:r>
      <w:r w:rsidR="00870E76">
        <w:rPr>
          <w:rFonts w:cstheme="minorHAnsi"/>
          <w:color w:val="000000"/>
        </w:rPr>
        <w:t>‘</w:t>
      </w:r>
      <w:r w:rsidR="009C6DED" w:rsidRPr="00DF4F6F">
        <w:rPr>
          <w:rFonts w:cstheme="minorHAnsi"/>
          <w:color w:val="000000"/>
        </w:rPr>
        <w:t>minimum essential levels</w:t>
      </w:r>
      <w:r w:rsidR="00870E76">
        <w:rPr>
          <w:rFonts w:cstheme="minorHAnsi"/>
          <w:color w:val="000000"/>
        </w:rPr>
        <w:t>’</w:t>
      </w:r>
      <w:r w:rsidR="00B37A80">
        <w:rPr>
          <w:rFonts w:cstheme="minorHAnsi"/>
          <w:color w:val="000000"/>
        </w:rPr>
        <w:t xml:space="preserve"> </w:t>
      </w:r>
      <w:r w:rsidR="009C6DED" w:rsidRPr="00DF4F6F">
        <w:rPr>
          <w:rFonts w:cstheme="minorHAnsi"/>
          <w:color w:val="000000"/>
        </w:rPr>
        <w:t xml:space="preserve">in relation to </w:t>
      </w:r>
      <w:r w:rsidR="009C6DED" w:rsidRPr="00DF4F6F">
        <w:rPr>
          <w:rFonts w:cstheme="minorHAnsi"/>
        </w:rPr>
        <w:t>children’s right to health.</w:t>
      </w:r>
      <w:r w:rsidR="009C6DED">
        <w:rPr>
          <w:rFonts w:cstheme="minorHAnsi"/>
        </w:rPr>
        <w:t xml:space="preserve"> </w:t>
      </w:r>
      <w:r w:rsidR="00A110F7">
        <w:rPr>
          <w:rFonts w:cstheme="minorHAnsi"/>
        </w:rPr>
        <w:t>Although</w:t>
      </w:r>
      <w:r w:rsidR="005A4232">
        <w:rPr>
          <w:rFonts w:cstheme="minorHAnsi"/>
        </w:rPr>
        <w:t xml:space="preserve"> these minimum levels of goods and services </w:t>
      </w:r>
      <w:r w:rsidR="009C6DED" w:rsidRPr="00DF4F6F">
        <w:rPr>
          <w:rFonts w:cstheme="minorHAnsi"/>
        </w:rPr>
        <w:t xml:space="preserve">will necessarily evolve as medical and scientific knowledge </w:t>
      </w:r>
      <w:r w:rsidR="005A4232">
        <w:rPr>
          <w:rFonts w:cstheme="minorHAnsi"/>
        </w:rPr>
        <w:t>advances</w:t>
      </w:r>
      <w:r w:rsidR="009C6DED" w:rsidRPr="00DF4F6F">
        <w:rPr>
          <w:rFonts w:cstheme="minorHAnsi"/>
        </w:rPr>
        <w:t xml:space="preserve">, there are elements of a minimum core that are already well-grounded in international law, </w:t>
      </w:r>
      <w:r w:rsidR="005A4232">
        <w:rPr>
          <w:rFonts w:cstheme="minorHAnsi"/>
        </w:rPr>
        <w:t>for example</w:t>
      </w:r>
      <w:r w:rsidR="009C6DED" w:rsidRPr="00DF4F6F">
        <w:rPr>
          <w:rFonts w:cstheme="minorHAnsi"/>
        </w:rPr>
        <w:t>: certain categories of primary health care services</w:t>
      </w:r>
      <w:r w:rsidR="009C6DED">
        <w:rPr>
          <w:rFonts w:cstheme="minorHAnsi"/>
        </w:rPr>
        <w:t>, including immunizations and nutritional programs</w:t>
      </w:r>
      <w:r w:rsidR="009C6DED" w:rsidRPr="00DF4F6F">
        <w:rPr>
          <w:rFonts w:cstheme="minorHAnsi"/>
        </w:rPr>
        <w:t xml:space="preserve">; the obligation to </w:t>
      </w:r>
      <w:r w:rsidR="009C6DED" w:rsidRPr="00DF4F6F">
        <w:rPr>
          <w:rFonts w:cstheme="minorHAnsi"/>
          <w:color w:val="000000"/>
        </w:rPr>
        <w:t xml:space="preserve">provide certain </w:t>
      </w:r>
      <w:r w:rsidR="009C6DED" w:rsidRPr="00DF4F6F">
        <w:rPr>
          <w:rFonts w:cstheme="minorHAnsi"/>
          <w:i/>
          <w:iCs/>
          <w:color w:val="000000"/>
        </w:rPr>
        <w:t>free services where necessary</w:t>
      </w:r>
      <w:r w:rsidR="009C6DED" w:rsidRPr="00DF4F6F">
        <w:rPr>
          <w:rFonts w:cstheme="minorHAnsi"/>
          <w:color w:val="000000"/>
        </w:rPr>
        <w:t>;</w:t>
      </w:r>
      <w:r w:rsidR="009C6DED" w:rsidRPr="00DF4F6F">
        <w:rPr>
          <w:rFonts w:cstheme="minorHAnsi"/>
        </w:rPr>
        <w:t xml:space="preserve"> adequate information; the availability of skilled health professionals; essential medicines and technologies; and the adoption and implementation of a national strategy and plan of action.</w:t>
      </w:r>
    </w:p>
    <w:p w:rsidR="00D5222C" w:rsidRPr="005A4232" w:rsidRDefault="00663250" w:rsidP="008C41C0">
      <w:pPr>
        <w:spacing w:line="240" w:lineRule="auto"/>
        <w:jc w:val="both"/>
        <w:rPr>
          <w:rFonts w:cstheme="minorHAnsi"/>
          <w:bCs/>
          <w:lang w:val="en-US"/>
        </w:rPr>
      </w:pPr>
      <w:r>
        <w:rPr>
          <w:rFonts w:cstheme="minorHAnsi"/>
        </w:rPr>
        <w:t xml:space="preserve">The proposed General comment further provides an opportunity to </w:t>
      </w:r>
      <w:r w:rsidR="00D5222C">
        <w:rPr>
          <w:rFonts w:cstheme="minorHAnsi"/>
        </w:rPr>
        <w:t>clarify</w:t>
      </w:r>
      <w:r w:rsidR="00D5222C" w:rsidRPr="00DF4F6F">
        <w:rPr>
          <w:rFonts w:cstheme="minorHAnsi"/>
        </w:rPr>
        <w:t xml:space="preserve"> </w:t>
      </w:r>
      <w:r w:rsidR="00EE3C56">
        <w:rPr>
          <w:rFonts w:cstheme="minorHAnsi"/>
        </w:rPr>
        <w:t>S</w:t>
      </w:r>
      <w:r w:rsidR="00D5222C" w:rsidRPr="00DF4F6F">
        <w:rPr>
          <w:rFonts w:cstheme="minorHAnsi"/>
        </w:rPr>
        <w:t>tates</w:t>
      </w:r>
      <w:r w:rsidR="00EE3C56">
        <w:rPr>
          <w:rFonts w:cstheme="minorHAnsi"/>
        </w:rPr>
        <w:t xml:space="preserve"> </w:t>
      </w:r>
      <w:r w:rsidR="002D072F">
        <w:rPr>
          <w:rFonts w:cstheme="minorHAnsi"/>
        </w:rPr>
        <w:t>P</w:t>
      </w:r>
      <w:r w:rsidR="00EE3C56">
        <w:rPr>
          <w:rFonts w:cstheme="minorHAnsi"/>
        </w:rPr>
        <w:t>arties</w:t>
      </w:r>
      <w:r w:rsidR="00D5222C" w:rsidRPr="00DF4F6F">
        <w:rPr>
          <w:rFonts w:cstheme="minorHAnsi"/>
        </w:rPr>
        <w:t xml:space="preserve">’ obligations related to the progressive realization of children’s right to health </w:t>
      </w:r>
      <w:r w:rsidR="00986EE4">
        <w:rPr>
          <w:rFonts w:cstheme="minorHAnsi"/>
        </w:rPr>
        <w:t>to the maximum extent of their</w:t>
      </w:r>
      <w:r w:rsidR="00D5222C" w:rsidRPr="00DF4F6F">
        <w:rPr>
          <w:rFonts w:cstheme="minorHAnsi"/>
        </w:rPr>
        <w:t xml:space="preserve"> available resources. </w:t>
      </w:r>
      <w:r w:rsidR="008B4FA5">
        <w:rPr>
          <w:rFonts w:cstheme="minorHAnsi"/>
        </w:rPr>
        <w:t xml:space="preserve">With regard to </w:t>
      </w:r>
      <w:r w:rsidR="00D5222C" w:rsidRPr="00DF4F6F">
        <w:rPr>
          <w:rFonts w:cstheme="minorHAnsi"/>
        </w:rPr>
        <w:t xml:space="preserve">the duty of </w:t>
      </w:r>
      <w:r w:rsidR="00EE3C56">
        <w:rPr>
          <w:rFonts w:cstheme="minorHAnsi"/>
        </w:rPr>
        <w:t>S</w:t>
      </w:r>
      <w:r w:rsidR="00D5222C" w:rsidRPr="00DF4F6F">
        <w:rPr>
          <w:rFonts w:cstheme="minorHAnsi"/>
        </w:rPr>
        <w:t>tates</w:t>
      </w:r>
      <w:r w:rsidR="008B4FA5">
        <w:rPr>
          <w:rFonts w:cstheme="minorHAnsi"/>
        </w:rPr>
        <w:t xml:space="preserve"> </w:t>
      </w:r>
      <w:r w:rsidR="002D072F">
        <w:rPr>
          <w:rFonts w:cstheme="minorHAnsi"/>
        </w:rPr>
        <w:t>P</w:t>
      </w:r>
      <w:r w:rsidR="008B4FA5">
        <w:rPr>
          <w:rFonts w:cstheme="minorHAnsi"/>
        </w:rPr>
        <w:t>arties</w:t>
      </w:r>
      <w:r w:rsidR="00D5222C" w:rsidRPr="00DF4F6F">
        <w:rPr>
          <w:rFonts w:cstheme="minorHAnsi"/>
        </w:rPr>
        <w:t xml:space="preserve"> to progressively </w:t>
      </w:r>
      <w:r w:rsidR="00B92866">
        <w:rPr>
          <w:rFonts w:cstheme="minorHAnsi"/>
        </w:rPr>
        <w:t xml:space="preserve">realise </w:t>
      </w:r>
      <w:r w:rsidR="00881880">
        <w:rPr>
          <w:rFonts w:cstheme="minorHAnsi"/>
        </w:rPr>
        <w:t>the child’s</w:t>
      </w:r>
      <w:r w:rsidR="00D5222C" w:rsidRPr="00DF4F6F">
        <w:rPr>
          <w:rFonts w:cstheme="minorHAnsi"/>
        </w:rPr>
        <w:t xml:space="preserve"> right to health</w:t>
      </w:r>
      <w:r w:rsidR="008B4FA5">
        <w:rPr>
          <w:rFonts w:cstheme="minorHAnsi"/>
        </w:rPr>
        <w:t>, the Committee should emphasise that this</w:t>
      </w:r>
      <w:r w:rsidR="00D5222C" w:rsidRPr="00DF4F6F">
        <w:rPr>
          <w:rFonts w:cstheme="minorHAnsi"/>
        </w:rPr>
        <w:t xml:space="preserve"> includes </w:t>
      </w:r>
      <w:r w:rsidR="00E03E49">
        <w:rPr>
          <w:rFonts w:cstheme="minorHAnsi"/>
        </w:rPr>
        <w:t>implementing</w:t>
      </w:r>
      <w:r w:rsidR="00D5222C" w:rsidRPr="00DF4F6F">
        <w:rPr>
          <w:rFonts w:cstheme="minorHAnsi"/>
        </w:rPr>
        <w:t xml:space="preserve"> progressive fiscal policies </w:t>
      </w:r>
      <w:r w:rsidR="008B4FA5">
        <w:rPr>
          <w:rFonts w:cstheme="minorHAnsi"/>
        </w:rPr>
        <w:t>which</w:t>
      </w:r>
      <w:r w:rsidR="00E03E49">
        <w:rPr>
          <w:rFonts w:cstheme="minorHAnsi"/>
        </w:rPr>
        <w:t xml:space="preserve"> permit the collection of adequate</w:t>
      </w:r>
      <w:r w:rsidR="00587343">
        <w:rPr>
          <w:rFonts w:cstheme="minorHAnsi"/>
        </w:rPr>
        <w:t xml:space="preserve"> resources</w:t>
      </w:r>
      <w:r w:rsidR="008B4FA5">
        <w:rPr>
          <w:rFonts w:cstheme="minorHAnsi"/>
        </w:rPr>
        <w:t>. Further</w:t>
      </w:r>
      <w:r w:rsidR="00917DEB">
        <w:rPr>
          <w:rFonts w:cstheme="minorHAnsi"/>
        </w:rPr>
        <w:t>more</w:t>
      </w:r>
      <w:r w:rsidR="008B4FA5">
        <w:rPr>
          <w:rFonts w:cstheme="minorHAnsi"/>
        </w:rPr>
        <w:t xml:space="preserve">, it should specify </w:t>
      </w:r>
      <w:r w:rsidR="008E0CB1">
        <w:rPr>
          <w:rFonts w:cstheme="minorHAnsi"/>
        </w:rPr>
        <w:t>that these</w:t>
      </w:r>
      <w:r w:rsidR="00E03E49">
        <w:rPr>
          <w:rFonts w:cstheme="minorHAnsi"/>
        </w:rPr>
        <w:t xml:space="preserve"> resources must be allocated </w:t>
      </w:r>
      <w:r w:rsidR="00447302">
        <w:rPr>
          <w:rFonts w:cstheme="minorHAnsi"/>
        </w:rPr>
        <w:t>in an equitable manner, and in accordance with a transparent and participatory process, which gives special attention to marginalized and other</w:t>
      </w:r>
      <w:r w:rsidR="00D5222C" w:rsidRPr="00DF4F6F">
        <w:rPr>
          <w:rFonts w:cstheme="minorHAnsi"/>
        </w:rPr>
        <w:t xml:space="preserve"> disadvantaged </w:t>
      </w:r>
      <w:r w:rsidR="00447302">
        <w:rPr>
          <w:rFonts w:cstheme="minorHAnsi"/>
        </w:rPr>
        <w:t>groups of children</w:t>
      </w:r>
      <w:r w:rsidR="00D5222C" w:rsidRPr="00DF4F6F">
        <w:rPr>
          <w:rFonts w:cstheme="minorHAnsi"/>
        </w:rPr>
        <w:t>.  The lack of a clearly defined budget for programs relating to children’s and adolescents’ health</w:t>
      </w:r>
      <w:r w:rsidR="000D0D21">
        <w:rPr>
          <w:rFonts w:cstheme="minorHAnsi"/>
        </w:rPr>
        <w:t xml:space="preserve">, including child protection, </w:t>
      </w:r>
      <w:r w:rsidR="00D5222C" w:rsidRPr="00DF4F6F">
        <w:rPr>
          <w:rFonts w:cstheme="minorHAnsi"/>
        </w:rPr>
        <w:t xml:space="preserve">undermines accountability. The Committee should also stress that </w:t>
      </w:r>
      <w:r w:rsidR="0072254F">
        <w:rPr>
          <w:rFonts w:cstheme="minorHAnsi"/>
        </w:rPr>
        <w:lastRenderedPageBreak/>
        <w:t xml:space="preserve">States Parties’ </w:t>
      </w:r>
      <w:r w:rsidR="00D5222C" w:rsidRPr="00DF4F6F">
        <w:rPr>
          <w:rFonts w:cstheme="minorHAnsi"/>
        </w:rPr>
        <w:t>duty to ensure maximum available resour</w:t>
      </w:r>
      <w:r w:rsidR="0031291A">
        <w:rPr>
          <w:rFonts w:cstheme="minorHAnsi"/>
        </w:rPr>
        <w:t>ces are being devoted to fulfil</w:t>
      </w:r>
      <w:r w:rsidR="002512B8">
        <w:rPr>
          <w:rFonts w:cstheme="minorHAnsi"/>
        </w:rPr>
        <w:t>l</w:t>
      </w:r>
      <w:r w:rsidR="00D5222C" w:rsidRPr="00DF4F6F">
        <w:rPr>
          <w:rFonts w:cstheme="minorHAnsi"/>
        </w:rPr>
        <w:t xml:space="preserve"> children’s health without discrimination applies equally in the context of decentralization and privatization of health services.</w:t>
      </w:r>
      <w:r w:rsidR="005A4232">
        <w:rPr>
          <w:rFonts w:cstheme="minorHAnsi"/>
        </w:rPr>
        <w:t xml:space="preserve">  Correspondingly, </w:t>
      </w:r>
      <w:r w:rsidR="005A4232" w:rsidRPr="005A4232">
        <w:rPr>
          <w:rFonts w:cstheme="minorHAnsi"/>
          <w:bCs/>
          <w:lang w:val="es-ES"/>
        </w:rPr>
        <w:t>the Committee might delineate more limited</w:t>
      </w:r>
      <w:r w:rsidR="00A110F7">
        <w:rPr>
          <w:rFonts w:cstheme="minorHAnsi"/>
          <w:bCs/>
          <w:lang w:val="es-ES"/>
        </w:rPr>
        <w:t xml:space="preserve"> child-specific circumstances that would</w:t>
      </w:r>
      <w:r w:rsidR="005A4232" w:rsidRPr="005A4232">
        <w:rPr>
          <w:rFonts w:cstheme="minorHAnsi"/>
          <w:bCs/>
          <w:lang w:val="es-ES"/>
        </w:rPr>
        <w:t xml:space="preserve"> permit deliberate retrogressive measures</w:t>
      </w:r>
      <w:r w:rsidR="00845B84">
        <w:rPr>
          <w:rFonts w:cstheme="minorHAnsi"/>
          <w:bCs/>
          <w:lang w:val="es-ES"/>
        </w:rPr>
        <w:t xml:space="preserve"> than those addressed by the Committee on Economic, Social and Cultural</w:t>
      </w:r>
      <w:r w:rsidR="00845B84" w:rsidRPr="008E0CB1">
        <w:rPr>
          <w:rFonts w:cstheme="minorHAnsi"/>
          <w:bCs/>
          <w:lang w:val="en-US"/>
        </w:rPr>
        <w:t xml:space="preserve"> Rights</w:t>
      </w:r>
      <w:r w:rsidR="00845B84">
        <w:rPr>
          <w:rFonts w:cstheme="minorHAnsi"/>
          <w:bCs/>
          <w:lang w:val="es-ES"/>
        </w:rPr>
        <w:t xml:space="preserve"> in its work thusfar</w:t>
      </w:r>
      <w:r w:rsidR="005A4232" w:rsidRPr="005A4232">
        <w:rPr>
          <w:rFonts w:cstheme="minorHAnsi"/>
          <w:bCs/>
          <w:lang w:val="es-ES"/>
        </w:rPr>
        <w:t>.</w:t>
      </w:r>
      <w:r w:rsidR="005A4232" w:rsidRPr="005A4232">
        <w:rPr>
          <w:rFonts w:cstheme="minorHAnsi"/>
          <w:bCs/>
          <w:vertAlign w:val="superscript"/>
          <w:lang w:val="es-ES"/>
        </w:rPr>
        <w:footnoteReference w:id="10"/>
      </w:r>
    </w:p>
    <w:p w:rsidR="007007B0" w:rsidRDefault="00D5222C" w:rsidP="008C41C0">
      <w:pPr>
        <w:spacing w:line="240" w:lineRule="auto"/>
        <w:jc w:val="both"/>
        <w:rPr>
          <w:rFonts w:cstheme="minorHAnsi"/>
        </w:rPr>
      </w:pPr>
      <w:r w:rsidRPr="00DF4F6F">
        <w:rPr>
          <w:rFonts w:cstheme="minorHAnsi"/>
        </w:rPr>
        <w:t>In addressing the resource dimensi</w:t>
      </w:r>
      <w:r w:rsidR="002B51E4">
        <w:rPr>
          <w:rFonts w:cstheme="minorHAnsi"/>
        </w:rPr>
        <w:t>ons of the obligation to fulfil</w:t>
      </w:r>
      <w:r w:rsidR="002512B8">
        <w:rPr>
          <w:rFonts w:cstheme="minorHAnsi"/>
        </w:rPr>
        <w:t>l</w:t>
      </w:r>
      <w:r w:rsidRPr="00DF4F6F">
        <w:rPr>
          <w:rFonts w:cstheme="minorHAnsi"/>
        </w:rPr>
        <w:t>, th</w:t>
      </w:r>
      <w:r w:rsidR="002B51E4">
        <w:rPr>
          <w:rFonts w:cstheme="minorHAnsi"/>
        </w:rPr>
        <w:t>is</w:t>
      </w:r>
      <w:r w:rsidRPr="00DF4F6F">
        <w:rPr>
          <w:rFonts w:cstheme="minorHAnsi"/>
        </w:rPr>
        <w:t xml:space="preserve"> General Comment should also examine the extra-territorial obligations of </w:t>
      </w:r>
      <w:r w:rsidR="00EE3C56">
        <w:rPr>
          <w:rFonts w:cstheme="minorHAnsi"/>
        </w:rPr>
        <w:t>S</w:t>
      </w:r>
      <w:r w:rsidRPr="00DF4F6F">
        <w:rPr>
          <w:rFonts w:cstheme="minorHAnsi"/>
        </w:rPr>
        <w:t xml:space="preserve">tates </w:t>
      </w:r>
      <w:r w:rsidR="002D072F">
        <w:rPr>
          <w:rFonts w:cstheme="minorHAnsi"/>
        </w:rPr>
        <w:t>P</w:t>
      </w:r>
      <w:r w:rsidR="00EE3C56">
        <w:rPr>
          <w:rFonts w:cstheme="minorHAnsi"/>
        </w:rPr>
        <w:t xml:space="preserve">arties </w:t>
      </w:r>
      <w:r w:rsidR="00881880">
        <w:rPr>
          <w:rFonts w:cstheme="minorHAnsi"/>
        </w:rPr>
        <w:t xml:space="preserve">and obligations of non-state actors.  </w:t>
      </w:r>
      <w:r w:rsidR="007007B0">
        <w:rPr>
          <w:rFonts w:cstheme="minorHAnsi"/>
        </w:rPr>
        <w:t xml:space="preserve">With respect to extra-territorial obligations, </w:t>
      </w:r>
      <w:r w:rsidR="00881880">
        <w:rPr>
          <w:rFonts w:cstheme="minorHAnsi"/>
        </w:rPr>
        <w:t xml:space="preserve">where </w:t>
      </w:r>
      <w:r w:rsidR="00EE3C56">
        <w:rPr>
          <w:rFonts w:cstheme="minorHAnsi"/>
        </w:rPr>
        <w:t>S</w:t>
      </w:r>
      <w:r w:rsidR="00881880">
        <w:rPr>
          <w:rFonts w:cstheme="minorHAnsi"/>
        </w:rPr>
        <w:t xml:space="preserve">tates </w:t>
      </w:r>
      <w:r w:rsidR="002D072F">
        <w:rPr>
          <w:rFonts w:cstheme="minorHAnsi"/>
        </w:rPr>
        <w:t>P</w:t>
      </w:r>
      <w:r w:rsidR="00EE3C56">
        <w:rPr>
          <w:rFonts w:cstheme="minorHAnsi"/>
        </w:rPr>
        <w:t xml:space="preserve">arties </w:t>
      </w:r>
      <w:r w:rsidR="00881880">
        <w:rPr>
          <w:rFonts w:cstheme="minorHAnsi"/>
        </w:rPr>
        <w:t xml:space="preserve">are </w:t>
      </w:r>
      <w:r w:rsidR="00881880" w:rsidRPr="00DF4F6F">
        <w:rPr>
          <w:rFonts w:cstheme="minorHAnsi"/>
        </w:rPr>
        <w:t>in a position to provide international assistance and cooperation to other states with limited capacity to meet their full obligations</w:t>
      </w:r>
      <w:r w:rsidR="00881880">
        <w:rPr>
          <w:rFonts w:cstheme="minorHAnsi"/>
        </w:rPr>
        <w:t>,</w:t>
      </w:r>
      <w:r w:rsidR="00F041CC">
        <w:rPr>
          <w:rFonts w:cstheme="minorHAnsi"/>
        </w:rPr>
        <w:t xml:space="preserve"> </w:t>
      </w:r>
      <w:r w:rsidR="007007B0">
        <w:rPr>
          <w:rFonts w:cstheme="minorHAnsi"/>
        </w:rPr>
        <w:t>t</w:t>
      </w:r>
      <w:r w:rsidRPr="00DF4F6F">
        <w:rPr>
          <w:rFonts w:cstheme="minorHAnsi"/>
        </w:rPr>
        <w:t xml:space="preserve">he General Comment should </w:t>
      </w:r>
      <w:r w:rsidR="000D0D21">
        <w:rPr>
          <w:rFonts w:cstheme="minorHAnsi"/>
        </w:rPr>
        <w:t>emphasize</w:t>
      </w:r>
      <w:r w:rsidRPr="00DF4F6F">
        <w:rPr>
          <w:rFonts w:cstheme="minorHAnsi"/>
        </w:rPr>
        <w:t xml:space="preserve"> that the duty to respect and protect </w:t>
      </w:r>
      <w:r w:rsidR="00854506">
        <w:rPr>
          <w:rFonts w:cstheme="minorHAnsi"/>
        </w:rPr>
        <w:t>the child</w:t>
      </w:r>
      <w:r w:rsidRPr="00DF4F6F">
        <w:rPr>
          <w:rFonts w:cstheme="minorHAnsi"/>
        </w:rPr>
        <w:t xml:space="preserve">’s right to health extends to ensuring </w:t>
      </w:r>
      <w:r w:rsidR="000E10F3">
        <w:rPr>
          <w:rFonts w:cstheme="minorHAnsi"/>
        </w:rPr>
        <w:t>policy coherence, and that</w:t>
      </w:r>
      <w:r w:rsidRPr="00DF4F6F">
        <w:rPr>
          <w:rFonts w:cstheme="minorHAnsi"/>
        </w:rPr>
        <w:t xml:space="preserve"> </w:t>
      </w:r>
      <w:r w:rsidR="00EE3C56">
        <w:rPr>
          <w:rFonts w:cstheme="minorHAnsi"/>
        </w:rPr>
        <w:t>S</w:t>
      </w:r>
      <w:r w:rsidRPr="00DF4F6F">
        <w:rPr>
          <w:rFonts w:cstheme="minorHAnsi"/>
        </w:rPr>
        <w:t>tates</w:t>
      </w:r>
      <w:r w:rsidR="00EE3C56">
        <w:rPr>
          <w:rFonts w:cstheme="minorHAnsi"/>
        </w:rPr>
        <w:t xml:space="preserve"> </w:t>
      </w:r>
      <w:r w:rsidR="002D072F">
        <w:rPr>
          <w:rFonts w:cstheme="minorHAnsi"/>
        </w:rPr>
        <w:t>P</w:t>
      </w:r>
      <w:r w:rsidR="00EE3C56">
        <w:rPr>
          <w:rFonts w:cstheme="minorHAnsi"/>
        </w:rPr>
        <w:t>arties</w:t>
      </w:r>
      <w:r w:rsidRPr="00DF4F6F">
        <w:rPr>
          <w:rFonts w:cstheme="minorHAnsi"/>
        </w:rPr>
        <w:t xml:space="preserve">’ trade, aid and investment policies do not undermine the realization of </w:t>
      </w:r>
      <w:r w:rsidR="00BB429F">
        <w:rPr>
          <w:rFonts w:cstheme="minorHAnsi"/>
        </w:rPr>
        <w:t>children’s</w:t>
      </w:r>
      <w:r w:rsidRPr="00DF4F6F">
        <w:rPr>
          <w:rFonts w:cstheme="minorHAnsi"/>
        </w:rPr>
        <w:t xml:space="preserve"> right</w:t>
      </w:r>
      <w:r w:rsidR="00BB429F">
        <w:rPr>
          <w:rFonts w:cstheme="minorHAnsi"/>
        </w:rPr>
        <w:t xml:space="preserve"> to health</w:t>
      </w:r>
      <w:r w:rsidRPr="00DF4F6F">
        <w:rPr>
          <w:rFonts w:cstheme="minorHAnsi"/>
        </w:rPr>
        <w:t xml:space="preserve"> in other jurisdictions.</w:t>
      </w:r>
      <w:r w:rsidR="00E338BC">
        <w:rPr>
          <w:rFonts w:cstheme="minorHAnsi"/>
        </w:rPr>
        <w:t xml:space="preserve"> </w:t>
      </w:r>
      <w:r w:rsidR="007007B0">
        <w:rPr>
          <w:rFonts w:cstheme="minorHAnsi"/>
        </w:rPr>
        <w:t xml:space="preserve">With respect to non-state actors, </w:t>
      </w:r>
      <w:r w:rsidR="007007B0" w:rsidRPr="00DF4F6F">
        <w:rPr>
          <w:rFonts w:cstheme="minorHAnsi"/>
        </w:rPr>
        <w:t xml:space="preserve">the Committee </w:t>
      </w:r>
      <w:r w:rsidR="00EE21A4">
        <w:rPr>
          <w:rFonts w:cstheme="minorHAnsi"/>
        </w:rPr>
        <w:t>should</w:t>
      </w:r>
      <w:r w:rsidR="007007B0" w:rsidRPr="00DF4F6F">
        <w:rPr>
          <w:rFonts w:cstheme="minorHAnsi"/>
        </w:rPr>
        <w:t xml:space="preserve"> go beyond considering the regulatory role of the state in relation to preventing, controlling and punishing violations by non-state actors</w:t>
      </w:r>
      <w:r w:rsidR="00430945">
        <w:rPr>
          <w:rFonts w:cstheme="minorHAnsi"/>
        </w:rPr>
        <w:t xml:space="preserve">. It must </w:t>
      </w:r>
      <w:r w:rsidR="007007B0" w:rsidRPr="00DF4F6F">
        <w:rPr>
          <w:rFonts w:cstheme="minorHAnsi"/>
        </w:rPr>
        <w:t>consider the role of non-state actors with regard to the provision and</w:t>
      </w:r>
      <w:r w:rsidR="007007B0" w:rsidRPr="00DD5B92">
        <w:rPr>
          <w:rFonts w:cstheme="minorHAnsi"/>
          <w:lang w:val="en-US"/>
        </w:rPr>
        <w:t xml:space="preserve"> fulfil</w:t>
      </w:r>
      <w:r w:rsidR="002512B8" w:rsidRPr="00DD5B92">
        <w:rPr>
          <w:rFonts w:cstheme="minorHAnsi"/>
          <w:lang w:val="en-US"/>
        </w:rPr>
        <w:t>l</w:t>
      </w:r>
      <w:r w:rsidR="007007B0" w:rsidRPr="00DD5B92">
        <w:rPr>
          <w:rFonts w:cstheme="minorHAnsi"/>
          <w:lang w:val="en-US"/>
        </w:rPr>
        <w:t>ment</w:t>
      </w:r>
      <w:r w:rsidR="007007B0" w:rsidRPr="00DF4F6F">
        <w:rPr>
          <w:rFonts w:cstheme="minorHAnsi"/>
        </w:rPr>
        <w:t xml:space="preserve"> of health-related goods and services.</w:t>
      </w:r>
      <w:r w:rsidR="000B0356">
        <w:rPr>
          <w:rStyle w:val="FootnoteReference"/>
          <w:rFonts w:cstheme="minorHAnsi"/>
        </w:rPr>
        <w:footnoteReference w:id="11"/>
      </w:r>
      <w:r w:rsidR="007007B0" w:rsidRPr="00DF4F6F">
        <w:rPr>
          <w:rFonts w:cstheme="minorHAnsi"/>
        </w:rPr>
        <w:t xml:space="preserve"> </w:t>
      </w:r>
    </w:p>
    <w:p w:rsidR="003979A5" w:rsidRDefault="00A17E83" w:rsidP="008C41C0">
      <w:pPr>
        <w:spacing w:line="240" w:lineRule="auto"/>
        <w:jc w:val="both"/>
        <w:rPr>
          <w:rFonts w:cstheme="minorHAnsi"/>
          <w:b/>
          <w:u w:val="single"/>
        </w:rPr>
      </w:pPr>
      <w:r w:rsidRPr="00020869">
        <w:rPr>
          <w:rFonts w:cstheme="minorHAnsi"/>
          <w:b/>
          <w:u w:val="single"/>
        </w:rPr>
        <w:t xml:space="preserve">The General Comment </w:t>
      </w:r>
      <w:r w:rsidR="00837883">
        <w:rPr>
          <w:rFonts w:cstheme="minorHAnsi"/>
          <w:b/>
          <w:u w:val="single"/>
        </w:rPr>
        <w:t>should</w:t>
      </w:r>
      <w:r w:rsidRPr="00020869">
        <w:rPr>
          <w:rFonts w:cstheme="minorHAnsi"/>
          <w:b/>
          <w:u w:val="single"/>
        </w:rPr>
        <w:t xml:space="preserve"> reaffirm and </w:t>
      </w:r>
      <w:r w:rsidR="00F041CC">
        <w:rPr>
          <w:rFonts w:cstheme="minorHAnsi"/>
          <w:b/>
          <w:u w:val="single"/>
        </w:rPr>
        <w:t>clarify</w:t>
      </w:r>
      <w:r w:rsidRPr="00020869">
        <w:rPr>
          <w:rFonts w:cstheme="minorHAnsi"/>
          <w:b/>
          <w:u w:val="single"/>
        </w:rPr>
        <w:t xml:space="preserve"> </w:t>
      </w:r>
      <w:r w:rsidR="00A76216">
        <w:rPr>
          <w:rFonts w:cstheme="minorHAnsi"/>
          <w:b/>
          <w:u w:val="single"/>
        </w:rPr>
        <w:t xml:space="preserve">the </w:t>
      </w:r>
      <w:r w:rsidR="008D2B66">
        <w:rPr>
          <w:rFonts w:cstheme="minorHAnsi"/>
          <w:b/>
          <w:u w:val="single"/>
        </w:rPr>
        <w:t>i</w:t>
      </w:r>
      <w:r w:rsidR="003979A5" w:rsidRPr="00020869">
        <w:rPr>
          <w:rFonts w:cstheme="minorHAnsi"/>
          <w:b/>
          <w:u w:val="single"/>
        </w:rPr>
        <w:t xml:space="preserve">nter-related </w:t>
      </w:r>
      <w:r w:rsidR="00A76216">
        <w:rPr>
          <w:rFonts w:cstheme="minorHAnsi"/>
          <w:b/>
          <w:u w:val="single"/>
        </w:rPr>
        <w:t>elements</w:t>
      </w:r>
      <w:r w:rsidR="003979A5" w:rsidRPr="00020869">
        <w:rPr>
          <w:rFonts w:cstheme="minorHAnsi"/>
          <w:b/>
          <w:u w:val="single"/>
        </w:rPr>
        <w:t xml:space="preserve"> of the right to health of children</w:t>
      </w:r>
      <w:r w:rsidR="00837883">
        <w:rPr>
          <w:rFonts w:cstheme="minorHAnsi"/>
          <w:b/>
          <w:u w:val="single"/>
        </w:rPr>
        <w:t xml:space="preserve">, including </w:t>
      </w:r>
      <w:r w:rsidR="003979A5" w:rsidRPr="00020869">
        <w:rPr>
          <w:rFonts w:cstheme="minorHAnsi"/>
          <w:b/>
          <w:u w:val="single"/>
        </w:rPr>
        <w:t>the appropriat</w:t>
      </w:r>
      <w:r w:rsidR="00837883">
        <w:rPr>
          <w:rFonts w:cstheme="minorHAnsi"/>
          <w:b/>
          <w:u w:val="single"/>
        </w:rPr>
        <w:t xml:space="preserve">e understanding of </w:t>
      </w:r>
      <w:r w:rsidR="0074006A">
        <w:rPr>
          <w:rFonts w:cstheme="minorHAnsi"/>
          <w:b/>
          <w:u w:val="single"/>
        </w:rPr>
        <w:t>‘</w:t>
      </w:r>
      <w:r w:rsidR="00837883">
        <w:rPr>
          <w:rFonts w:cstheme="minorHAnsi"/>
          <w:b/>
          <w:u w:val="single"/>
        </w:rPr>
        <w:t>e</w:t>
      </w:r>
      <w:r w:rsidR="003979A5" w:rsidRPr="00020869">
        <w:rPr>
          <w:rFonts w:cstheme="minorHAnsi"/>
          <w:b/>
          <w:u w:val="single"/>
        </w:rPr>
        <w:t>ffectiveness</w:t>
      </w:r>
      <w:r w:rsidR="0074006A">
        <w:rPr>
          <w:rFonts w:cstheme="minorHAnsi"/>
          <w:b/>
          <w:u w:val="single"/>
        </w:rPr>
        <w:t>’</w:t>
      </w:r>
      <w:r w:rsidR="00020869">
        <w:rPr>
          <w:rFonts w:cstheme="minorHAnsi"/>
          <w:b/>
          <w:u w:val="single"/>
        </w:rPr>
        <w:t xml:space="preserve"> in the context of health</w:t>
      </w:r>
    </w:p>
    <w:p w:rsidR="008F459D" w:rsidRDefault="008F459D" w:rsidP="008C41C0">
      <w:pPr>
        <w:spacing w:line="240" w:lineRule="auto"/>
        <w:jc w:val="both"/>
        <w:rPr>
          <w:rFonts w:cstheme="minorHAnsi"/>
        </w:rPr>
      </w:pPr>
      <w:r w:rsidRPr="00DF4F6F">
        <w:rPr>
          <w:rFonts w:cstheme="minorHAnsi"/>
        </w:rPr>
        <w:t xml:space="preserve">The authors </w:t>
      </w:r>
      <w:r>
        <w:rPr>
          <w:rFonts w:cstheme="minorHAnsi"/>
        </w:rPr>
        <w:t xml:space="preserve">welcome the </w:t>
      </w:r>
      <w:r w:rsidR="002A4F12">
        <w:rPr>
          <w:rFonts w:cstheme="minorHAnsi"/>
        </w:rPr>
        <w:t>continued employment</w:t>
      </w:r>
      <w:r>
        <w:rPr>
          <w:rFonts w:cstheme="minorHAnsi"/>
        </w:rPr>
        <w:t xml:space="preserve"> of the AAAQ (Availability, Accessibility, Acceptability and Quality) framework used in General Comment 14 by the Committee on Economic, Social and Cultural Rights.</w:t>
      </w:r>
      <w:r w:rsidR="000D3B39" w:rsidRPr="00DF4F6F">
        <w:rPr>
          <w:rStyle w:val="FootnoteReference"/>
          <w:rFonts w:cstheme="minorHAnsi"/>
        </w:rPr>
        <w:footnoteReference w:id="12"/>
      </w:r>
      <w:r>
        <w:rPr>
          <w:rFonts w:cstheme="minorHAnsi"/>
        </w:rPr>
        <w:t xml:space="preserve">  In addition to the four overlapping dimensions of accessibility (physical, economic, information and non-discrimination), the Committee could usefully add </w:t>
      </w:r>
      <w:r w:rsidR="0074006A">
        <w:rPr>
          <w:rFonts w:cstheme="minorHAnsi"/>
        </w:rPr>
        <w:t>‘</w:t>
      </w:r>
      <w:r>
        <w:rPr>
          <w:rFonts w:cstheme="minorHAnsi"/>
        </w:rPr>
        <w:t>effective</w:t>
      </w:r>
      <w:r w:rsidR="0074006A">
        <w:rPr>
          <w:rFonts w:cstheme="minorHAnsi"/>
        </w:rPr>
        <w:t>’</w:t>
      </w:r>
      <w:r>
        <w:rPr>
          <w:rFonts w:cstheme="minorHAnsi"/>
        </w:rPr>
        <w:t xml:space="preserve"> and clarify that bureaucratic obstacles often pose tremendous barriers to access to care for children. Furthermore, in the context of health, e</w:t>
      </w:r>
      <w:r w:rsidRPr="00020869">
        <w:rPr>
          <w:rFonts w:cstheme="minorHAnsi"/>
        </w:rPr>
        <w:t xml:space="preserve">ffectiveness can refer to clinical effectiveness, which should be an element of </w:t>
      </w:r>
      <w:r w:rsidR="0074006A">
        <w:rPr>
          <w:rFonts w:cstheme="minorHAnsi"/>
        </w:rPr>
        <w:t>‘</w:t>
      </w:r>
      <w:r w:rsidRPr="00020869">
        <w:rPr>
          <w:rFonts w:cstheme="minorHAnsi"/>
        </w:rPr>
        <w:t>quality</w:t>
      </w:r>
      <w:r w:rsidR="0074006A">
        <w:rPr>
          <w:rFonts w:cstheme="minorHAnsi"/>
        </w:rPr>
        <w:t>’</w:t>
      </w:r>
      <w:r w:rsidRPr="00020869">
        <w:rPr>
          <w:rFonts w:cstheme="minorHAnsi"/>
        </w:rPr>
        <w:t xml:space="preserve"> of care.</w:t>
      </w:r>
    </w:p>
    <w:p w:rsidR="008F459D" w:rsidRPr="003E1CB9" w:rsidRDefault="008F459D" w:rsidP="008C41C0">
      <w:pPr>
        <w:spacing w:line="240" w:lineRule="auto"/>
        <w:jc w:val="both"/>
      </w:pPr>
      <w:r w:rsidRPr="00020869">
        <w:rPr>
          <w:rFonts w:cstheme="minorHAnsi"/>
        </w:rPr>
        <w:t>We would</w:t>
      </w:r>
      <w:r w:rsidR="0014057E">
        <w:rPr>
          <w:rFonts w:cstheme="minorHAnsi"/>
        </w:rPr>
        <w:t>,</w:t>
      </w:r>
      <w:r w:rsidRPr="00020869">
        <w:rPr>
          <w:rFonts w:cstheme="minorHAnsi"/>
        </w:rPr>
        <w:t xml:space="preserve"> however</w:t>
      </w:r>
      <w:r w:rsidR="0014057E">
        <w:rPr>
          <w:rFonts w:cstheme="minorHAnsi"/>
        </w:rPr>
        <w:t>,</w:t>
      </w:r>
      <w:r w:rsidRPr="00020869">
        <w:rPr>
          <w:rFonts w:cstheme="minorHAnsi"/>
        </w:rPr>
        <w:t xml:space="preserve"> strongly caution against the proposed addition of ‘effectiveness’ as a separate criterion in this or any future General Comment.    </w:t>
      </w:r>
      <w:r>
        <w:rPr>
          <w:rFonts w:cstheme="minorHAnsi"/>
        </w:rPr>
        <w:t>This is due to the fact that effectiveness may also be understood as</w:t>
      </w:r>
      <w:r w:rsidRPr="00020869">
        <w:rPr>
          <w:rFonts w:cstheme="minorHAnsi"/>
        </w:rPr>
        <w:t xml:space="preserve"> cost-effectiveness, which, while a legitimate consideration in health policy-making, should not be understood as an integral element of the </w:t>
      </w:r>
      <w:r w:rsidRPr="00020869">
        <w:rPr>
          <w:rFonts w:cstheme="minorHAnsi"/>
          <w:i/>
        </w:rPr>
        <w:t>right to health</w:t>
      </w:r>
      <w:r w:rsidRPr="00020869">
        <w:rPr>
          <w:rFonts w:cstheme="minorHAnsi"/>
        </w:rPr>
        <w:t xml:space="preserve"> of children.</w:t>
      </w:r>
      <w:r>
        <w:rPr>
          <w:rFonts w:cstheme="minorHAnsi"/>
        </w:rPr>
        <w:t xml:space="preserve"> </w:t>
      </w:r>
      <w:r>
        <w:t xml:space="preserve">It would be particularly problematic if the inclusion of the language of ‘effectiveness’ in a General Comment rendered it possible for monetary cost-benefit understandings of ‘cost-effectiveness’ to limit the implementation of ESC rights under the CRC. </w:t>
      </w:r>
    </w:p>
    <w:p w:rsidR="00020869" w:rsidRPr="00521D9C" w:rsidRDefault="00020869" w:rsidP="008C41C0">
      <w:pPr>
        <w:spacing w:line="240" w:lineRule="auto"/>
        <w:jc w:val="both"/>
        <w:rPr>
          <w:rFonts w:cstheme="minorHAnsi"/>
          <w:b/>
          <w:u w:val="single"/>
        </w:rPr>
      </w:pPr>
      <w:r>
        <w:rPr>
          <w:rFonts w:cstheme="minorHAnsi"/>
          <w:b/>
          <w:u w:val="single"/>
        </w:rPr>
        <w:t xml:space="preserve">The General Comment </w:t>
      </w:r>
      <w:r w:rsidR="00837883">
        <w:rPr>
          <w:rFonts w:cstheme="minorHAnsi"/>
          <w:b/>
          <w:u w:val="single"/>
        </w:rPr>
        <w:t xml:space="preserve">should </w:t>
      </w:r>
      <w:r>
        <w:rPr>
          <w:rFonts w:cstheme="minorHAnsi"/>
          <w:b/>
          <w:u w:val="single"/>
        </w:rPr>
        <w:t xml:space="preserve">update important domains left unaddressed by the existing normative </w:t>
      </w:r>
      <w:r w:rsidRPr="00521D9C">
        <w:rPr>
          <w:rFonts w:cstheme="minorHAnsi"/>
          <w:b/>
          <w:u w:val="single"/>
        </w:rPr>
        <w:t>framework on the right to health, in the context of children</w:t>
      </w:r>
    </w:p>
    <w:p w:rsidR="00020869" w:rsidRPr="00521D9C" w:rsidRDefault="00020869" w:rsidP="008C41C0">
      <w:pPr>
        <w:pStyle w:val="ListParagraph"/>
        <w:numPr>
          <w:ilvl w:val="0"/>
          <w:numId w:val="6"/>
        </w:numPr>
        <w:spacing w:line="240" w:lineRule="auto"/>
        <w:jc w:val="both"/>
        <w:rPr>
          <w:rFonts w:cstheme="minorHAnsi"/>
          <w:b/>
        </w:rPr>
      </w:pPr>
      <w:r w:rsidRPr="00521D9C">
        <w:rPr>
          <w:rFonts w:cstheme="minorHAnsi"/>
          <w:b/>
        </w:rPr>
        <w:t xml:space="preserve">Health systems </w:t>
      </w:r>
    </w:p>
    <w:p w:rsidR="00917DEB" w:rsidRDefault="00A45F27" w:rsidP="008C41C0">
      <w:pPr>
        <w:pStyle w:val="Heading6"/>
        <w:keepNext w:val="0"/>
        <w:keepLines w:val="0"/>
        <w:shd w:val="clear" w:color="auto" w:fill="FFFFFF"/>
        <w:spacing w:before="0" w:line="240" w:lineRule="auto"/>
        <w:jc w:val="both"/>
      </w:pPr>
      <w:r w:rsidRPr="00521D9C">
        <w:rPr>
          <w:rFonts w:asciiTheme="minorHAnsi" w:hAnsiTheme="minorHAnsi" w:cstheme="minorHAnsi"/>
          <w:i w:val="0"/>
          <w:color w:val="auto"/>
        </w:rPr>
        <w:lastRenderedPageBreak/>
        <w:t>Health systems are central to</w:t>
      </w:r>
      <w:r w:rsidR="00020869" w:rsidRPr="00521D9C">
        <w:rPr>
          <w:rFonts w:asciiTheme="minorHAnsi" w:hAnsiTheme="minorHAnsi" w:cstheme="minorHAnsi"/>
          <w:i w:val="0"/>
          <w:color w:val="auto"/>
        </w:rPr>
        <w:t xml:space="preserve"> children’s right to health.</w:t>
      </w:r>
      <w:r w:rsidR="00020869" w:rsidRPr="00521D9C">
        <w:rPr>
          <w:rStyle w:val="FootnoteReference"/>
          <w:rFonts w:asciiTheme="minorHAnsi" w:hAnsiTheme="minorHAnsi" w:cstheme="minorHAnsi"/>
          <w:i w:val="0"/>
          <w:color w:val="auto"/>
        </w:rPr>
        <w:footnoteReference w:id="13"/>
      </w:r>
      <w:r w:rsidRPr="00521D9C">
        <w:rPr>
          <w:rFonts w:asciiTheme="minorHAnsi" w:hAnsiTheme="minorHAnsi" w:cstheme="minorHAnsi"/>
          <w:i w:val="0"/>
          <w:color w:val="auto"/>
        </w:rPr>
        <w:t xml:space="preserve"> </w:t>
      </w:r>
      <w:r w:rsidR="00020869" w:rsidRPr="00521D9C">
        <w:rPr>
          <w:rFonts w:asciiTheme="minorHAnsi" w:hAnsiTheme="minorHAnsi" w:cstheme="minorHAnsi"/>
          <w:i w:val="0"/>
          <w:color w:val="auto"/>
        </w:rPr>
        <w:t xml:space="preserve"> Far more than </w:t>
      </w:r>
      <w:r w:rsidR="00B872D1">
        <w:rPr>
          <w:rFonts w:asciiTheme="minorHAnsi" w:hAnsiTheme="minorHAnsi" w:cstheme="minorHAnsi"/>
          <w:i w:val="0"/>
          <w:color w:val="auto"/>
        </w:rPr>
        <w:t xml:space="preserve">simply constituting </w:t>
      </w:r>
      <w:r w:rsidR="00020869" w:rsidRPr="00521D9C">
        <w:rPr>
          <w:rFonts w:asciiTheme="minorHAnsi" w:hAnsiTheme="minorHAnsi" w:cstheme="minorHAnsi"/>
          <w:i w:val="0"/>
          <w:color w:val="auto"/>
        </w:rPr>
        <w:t xml:space="preserve">delivery </w:t>
      </w:r>
      <w:r w:rsidRPr="00521D9C">
        <w:rPr>
          <w:rFonts w:asciiTheme="minorHAnsi" w:hAnsiTheme="minorHAnsi" w:cstheme="minorHAnsi"/>
          <w:i w:val="0"/>
          <w:color w:val="auto"/>
        </w:rPr>
        <w:t>infrastructures</w:t>
      </w:r>
      <w:r w:rsidR="00020869" w:rsidRPr="00521D9C">
        <w:rPr>
          <w:rFonts w:asciiTheme="minorHAnsi" w:hAnsiTheme="minorHAnsi" w:cstheme="minorHAnsi"/>
          <w:i w:val="0"/>
          <w:color w:val="auto"/>
        </w:rPr>
        <w:t xml:space="preserve"> for goods and services, health systems are core social institutions—akin to justice systems o</w:t>
      </w:r>
      <w:r w:rsidR="00F37867" w:rsidRPr="00521D9C">
        <w:rPr>
          <w:rFonts w:asciiTheme="minorHAnsi" w:hAnsiTheme="minorHAnsi" w:cstheme="minorHAnsi"/>
          <w:i w:val="0"/>
          <w:color w:val="auto"/>
        </w:rPr>
        <w:t>r democratic political systems—</w:t>
      </w:r>
      <w:r w:rsidR="00020869" w:rsidRPr="00521D9C">
        <w:rPr>
          <w:rFonts w:asciiTheme="minorHAnsi" w:hAnsiTheme="minorHAnsi" w:cstheme="minorHAnsi"/>
          <w:i w:val="0"/>
          <w:color w:val="auto"/>
        </w:rPr>
        <w:t>and as such they both reflect and communicate norms and values.</w:t>
      </w:r>
      <w:r w:rsidR="00020869" w:rsidRPr="00521D9C">
        <w:rPr>
          <w:rStyle w:val="FootnoteReference"/>
          <w:rFonts w:asciiTheme="minorHAnsi" w:hAnsiTheme="minorHAnsi" w:cstheme="minorHAnsi"/>
          <w:i w:val="0"/>
          <w:color w:val="auto"/>
        </w:rPr>
        <w:footnoteReference w:id="14"/>
      </w:r>
      <w:r w:rsidR="00020869" w:rsidRPr="00521D9C">
        <w:rPr>
          <w:rFonts w:asciiTheme="minorHAnsi" w:hAnsiTheme="minorHAnsi" w:cstheme="minorHAnsi"/>
          <w:i w:val="0"/>
          <w:color w:val="auto"/>
        </w:rPr>
        <w:t xml:space="preserve"> Health systems can too frequently exacerbate inequalities, stigmatization, and marginalization, and these forms of exclusion disproportionately affect children.  </w:t>
      </w:r>
      <w:r w:rsidR="00D675EC" w:rsidRPr="00521D9C">
        <w:rPr>
          <w:rFonts w:asciiTheme="minorHAnsi" w:hAnsiTheme="minorHAnsi" w:cstheme="minorHAnsi"/>
          <w:i w:val="0"/>
          <w:color w:val="auto"/>
        </w:rPr>
        <w:t>Alleviating these risks</w:t>
      </w:r>
      <w:r w:rsidR="00020869" w:rsidRPr="00521D9C">
        <w:rPr>
          <w:rFonts w:asciiTheme="minorHAnsi" w:hAnsiTheme="minorHAnsi" w:cstheme="minorHAnsi"/>
          <w:i w:val="0"/>
          <w:color w:val="auto"/>
        </w:rPr>
        <w:t xml:space="preserve">, </w:t>
      </w:r>
      <w:r w:rsidR="00D675EC" w:rsidRPr="00521D9C">
        <w:rPr>
          <w:rFonts w:asciiTheme="minorHAnsi" w:hAnsiTheme="minorHAnsi" w:cstheme="minorHAnsi"/>
          <w:i w:val="0"/>
          <w:color w:val="auto"/>
        </w:rPr>
        <w:t xml:space="preserve">rights-based health systems, promoting </w:t>
      </w:r>
      <w:r w:rsidR="00020869" w:rsidRPr="00521D9C">
        <w:rPr>
          <w:rFonts w:asciiTheme="minorHAnsi" w:hAnsiTheme="minorHAnsi" w:cstheme="minorHAnsi"/>
          <w:i w:val="0"/>
          <w:color w:val="auto"/>
        </w:rPr>
        <w:t xml:space="preserve">inclusiveness and equality, </w:t>
      </w:r>
      <w:r w:rsidR="00D675EC" w:rsidRPr="00521D9C">
        <w:rPr>
          <w:rFonts w:asciiTheme="minorHAnsi" w:hAnsiTheme="minorHAnsi" w:cstheme="minorHAnsi"/>
          <w:i w:val="0"/>
          <w:color w:val="auto"/>
        </w:rPr>
        <w:t>can</w:t>
      </w:r>
      <w:r w:rsidR="00020869" w:rsidRPr="00521D9C">
        <w:rPr>
          <w:rFonts w:asciiTheme="minorHAnsi" w:hAnsiTheme="minorHAnsi" w:cstheme="minorHAnsi"/>
          <w:i w:val="0"/>
          <w:color w:val="auto"/>
        </w:rPr>
        <w:t xml:space="preserve"> facilitate a deepening of substantive democracy.  </w:t>
      </w:r>
    </w:p>
    <w:p w:rsidR="00917DEB" w:rsidRDefault="00917DEB" w:rsidP="008C41C0">
      <w:pPr>
        <w:spacing w:after="0" w:line="240" w:lineRule="auto"/>
        <w:jc w:val="both"/>
        <w:rPr>
          <w:rFonts w:cstheme="minorHAnsi"/>
        </w:rPr>
      </w:pPr>
    </w:p>
    <w:p w:rsidR="00917DEB" w:rsidRDefault="00020869" w:rsidP="008C41C0">
      <w:pPr>
        <w:spacing w:after="0" w:line="240" w:lineRule="auto"/>
        <w:jc w:val="both"/>
        <w:rPr>
          <w:rFonts w:cstheme="minorHAnsi"/>
        </w:rPr>
      </w:pPr>
      <w:r w:rsidRPr="00521D9C">
        <w:rPr>
          <w:rFonts w:cstheme="minorHAnsi"/>
        </w:rPr>
        <w:t>This General Comment</w:t>
      </w:r>
      <w:r w:rsidR="00D675EC" w:rsidRPr="00521D9C">
        <w:rPr>
          <w:rFonts w:cstheme="minorHAnsi"/>
        </w:rPr>
        <w:t>,</w:t>
      </w:r>
      <w:r w:rsidRPr="00521D9C">
        <w:rPr>
          <w:rFonts w:cstheme="minorHAnsi"/>
        </w:rPr>
        <w:t xml:space="preserve"> provides an opportunity to </w:t>
      </w:r>
      <w:r w:rsidR="00D675EC" w:rsidRPr="00521D9C">
        <w:rPr>
          <w:rFonts w:cstheme="minorHAnsi"/>
        </w:rPr>
        <w:t>clarify the principles supporting health systems, articulating</w:t>
      </w:r>
      <w:r w:rsidRPr="00521D9C">
        <w:rPr>
          <w:rFonts w:cstheme="minorHAnsi"/>
        </w:rPr>
        <w:t xml:space="preserve"> how the building blocks of h</w:t>
      </w:r>
      <w:r w:rsidR="00D675EC" w:rsidRPr="00521D9C">
        <w:rPr>
          <w:rFonts w:cstheme="minorHAnsi"/>
        </w:rPr>
        <w:t>ealth systems outlined by WHO (</w:t>
      </w:r>
      <w:r w:rsidRPr="00521D9C">
        <w:rPr>
          <w:rFonts w:cstheme="minorHAnsi"/>
        </w:rPr>
        <w:t>leadership and governance; service delivery packages and models; financing, human resources for health; health information; and medical prod</w:t>
      </w:r>
      <w:r w:rsidR="00D675EC" w:rsidRPr="00521D9C">
        <w:rPr>
          <w:rFonts w:cstheme="minorHAnsi"/>
        </w:rPr>
        <w:t>ucts, vaccines and technologies)</w:t>
      </w:r>
      <w:r w:rsidRPr="00521D9C">
        <w:rPr>
          <w:rFonts w:cstheme="minorHAnsi"/>
        </w:rPr>
        <w:t xml:space="preserve"> can all be informed by human rights standards </w:t>
      </w:r>
      <w:r w:rsidR="00D675EC" w:rsidRPr="00521D9C">
        <w:rPr>
          <w:rFonts w:cstheme="minorHAnsi"/>
        </w:rPr>
        <w:t xml:space="preserve">in addressing </w:t>
      </w:r>
      <w:r w:rsidR="00F37867" w:rsidRPr="00521D9C">
        <w:rPr>
          <w:rFonts w:cstheme="minorHAnsi"/>
        </w:rPr>
        <w:t>the needs inherent in child</w:t>
      </w:r>
      <w:r w:rsidR="00D675EC" w:rsidRPr="00521D9C">
        <w:rPr>
          <w:rFonts w:cstheme="minorHAnsi"/>
        </w:rPr>
        <w:t xml:space="preserve"> health</w:t>
      </w:r>
      <w:r w:rsidRPr="00521D9C">
        <w:rPr>
          <w:rFonts w:cstheme="minorHAnsi"/>
        </w:rPr>
        <w:t>.</w:t>
      </w:r>
      <w:r w:rsidRPr="00521D9C">
        <w:rPr>
          <w:rStyle w:val="FootnoteReference"/>
          <w:rFonts w:cstheme="minorHAnsi"/>
        </w:rPr>
        <w:footnoteReference w:id="15"/>
      </w:r>
      <w:r w:rsidRPr="00521D9C">
        <w:rPr>
          <w:rFonts w:cstheme="minorHAnsi"/>
        </w:rPr>
        <w:t xml:space="preserve">  </w:t>
      </w:r>
    </w:p>
    <w:p w:rsidR="00917DEB" w:rsidRDefault="00917DEB" w:rsidP="008C41C0">
      <w:pPr>
        <w:spacing w:after="0" w:line="240" w:lineRule="auto"/>
        <w:jc w:val="both"/>
        <w:rPr>
          <w:rFonts w:cstheme="minorHAnsi"/>
        </w:rPr>
      </w:pPr>
    </w:p>
    <w:p w:rsidR="00020869" w:rsidRPr="00DF4F6F" w:rsidRDefault="00020869" w:rsidP="008C41C0">
      <w:pPr>
        <w:pStyle w:val="ListParagraph"/>
        <w:numPr>
          <w:ilvl w:val="0"/>
          <w:numId w:val="6"/>
        </w:numPr>
        <w:spacing w:line="240" w:lineRule="auto"/>
        <w:jc w:val="both"/>
        <w:rPr>
          <w:rFonts w:cstheme="minorHAnsi"/>
          <w:b/>
        </w:rPr>
      </w:pPr>
      <w:r w:rsidRPr="00DF4F6F">
        <w:rPr>
          <w:rFonts w:cstheme="minorHAnsi"/>
          <w:b/>
        </w:rPr>
        <w:t>Social Determinants of Children’s Health</w:t>
      </w:r>
    </w:p>
    <w:p w:rsidR="004C6A12" w:rsidRPr="00DF4F6F" w:rsidRDefault="00020869" w:rsidP="008C41C0">
      <w:pPr>
        <w:spacing w:line="240" w:lineRule="auto"/>
        <w:jc w:val="both"/>
        <w:rPr>
          <w:rFonts w:cstheme="minorHAnsi"/>
        </w:rPr>
      </w:pPr>
      <w:r w:rsidRPr="00DF4F6F">
        <w:rPr>
          <w:rFonts w:cstheme="minorHAnsi"/>
        </w:rPr>
        <w:t>Social determinants of health</w:t>
      </w:r>
      <w:r w:rsidR="00D675EC">
        <w:rPr>
          <w:rFonts w:cstheme="minorHAnsi"/>
        </w:rPr>
        <w:t xml:space="preserve">, </w:t>
      </w:r>
      <w:r w:rsidR="0074006A">
        <w:rPr>
          <w:rFonts w:cstheme="minorHAnsi"/>
        </w:rPr>
        <w:t>‘</w:t>
      </w:r>
      <w:r>
        <w:rPr>
          <w:rFonts w:cstheme="minorHAnsi"/>
        </w:rPr>
        <w:t>the conditions under which we live, work and grow</w:t>
      </w:r>
      <w:r w:rsidR="00D675EC">
        <w:rPr>
          <w:rFonts w:cstheme="minorHAnsi"/>
        </w:rPr>
        <w:t>,</w:t>
      </w:r>
      <w:r w:rsidR="0074006A">
        <w:rPr>
          <w:rFonts w:cstheme="minorHAnsi"/>
        </w:rPr>
        <w:t>’</w:t>
      </w:r>
      <w:r w:rsidR="008C41C0">
        <w:rPr>
          <w:rStyle w:val="FootnoteReference"/>
          <w:rFonts w:cstheme="minorHAnsi"/>
        </w:rPr>
        <w:footnoteReference w:id="16"/>
      </w:r>
      <w:r w:rsidRPr="00DF4F6F">
        <w:rPr>
          <w:rFonts w:cstheme="minorHAnsi"/>
        </w:rPr>
        <w:t xml:space="preserve"> are especially critical </w:t>
      </w:r>
      <w:r w:rsidR="00D675EC">
        <w:rPr>
          <w:rFonts w:cstheme="minorHAnsi"/>
        </w:rPr>
        <w:t xml:space="preserve">to </w:t>
      </w:r>
      <w:r w:rsidR="00DC380B">
        <w:rPr>
          <w:rFonts w:cstheme="minorHAnsi"/>
        </w:rPr>
        <w:t xml:space="preserve">child </w:t>
      </w:r>
      <w:r w:rsidRPr="00DF4F6F">
        <w:rPr>
          <w:rFonts w:cstheme="minorHAnsi"/>
        </w:rPr>
        <w:t xml:space="preserve">health. </w:t>
      </w:r>
      <w:r w:rsidR="00D675EC">
        <w:rPr>
          <w:rFonts w:cstheme="minorHAnsi"/>
        </w:rPr>
        <w:t xml:space="preserve">Moving beyond the </w:t>
      </w:r>
      <w:r w:rsidR="00362AF2">
        <w:rPr>
          <w:rFonts w:cstheme="minorHAnsi"/>
        </w:rPr>
        <w:t>‘</w:t>
      </w:r>
      <w:r w:rsidR="00D675EC">
        <w:rPr>
          <w:rFonts w:cstheme="minorHAnsi"/>
        </w:rPr>
        <w:t>underlying determinants</w:t>
      </w:r>
      <w:r w:rsidR="00362AF2">
        <w:rPr>
          <w:rFonts w:cstheme="minorHAnsi"/>
        </w:rPr>
        <w:t>’</w:t>
      </w:r>
      <w:r w:rsidRPr="00DF4F6F">
        <w:rPr>
          <w:rFonts w:cstheme="minorHAnsi"/>
        </w:rPr>
        <w:t xml:space="preserve"> </w:t>
      </w:r>
      <w:r w:rsidR="00DC380B">
        <w:rPr>
          <w:rFonts w:cstheme="minorHAnsi"/>
        </w:rPr>
        <w:t>referenced</w:t>
      </w:r>
      <w:r w:rsidR="00D675EC">
        <w:rPr>
          <w:rFonts w:cstheme="minorHAnsi"/>
        </w:rPr>
        <w:t xml:space="preserve"> in the </w:t>
      </w:r>
      <w:r w:rsidR="008F459D">
        <w:rPr>
          <w:rFonts w:cstheme="minorHAnsi"/>
        </w:rPr>
        <w:t>Committee on Economic, Social and Cultural Rights</w:t>
      </w:r>
      <w:r w:rsidR="00D675EC">
        <w:rPr>
          <w:rFonts w:cstheme="minorHAnsi"/>
        </w:rPr>
        <w:t xml:space="preserve">’ </w:t>
      </w:r>
      <w:r w:rsidRPr="00DF4F6F">
        <w:rPr>
          <w:rFonts w:cstheme="minorHAnsi"/>
        </w:rPr>
        <w:t>General Comment 14,</w:t>
      </w:r>
      <w:r w:rsidRPr="00DF4F6F">
        <w:rPr>
          <w:rStyle w:val="FootnoteReference"/>
          <w:rFonts w:cstheme="minorHAnsi"/>
        </w:rPr>
        <w:footnoteReference w:id="17"/>
      </w:r>
      <w:r w:rsidRPr="00DF4F6F">
        <w:rPr>
          <w:rFonts w:cstheme="minorHAnsi"/>
        </w:rPr>
        <w:t xml:space="preserve"> </w:t>
      </w:r>
      <w:r w:rsidR="00D675EC" w:rsidRPr="00D675EC">
        <w:rPr>
          <w:rFonts w:cstheme="minorHAnsi"/>
        </w:rPr>
        <w:t>t</w:t>
      </w:r>
      <w:r w:rsidRPr="00D675EC">
        <w:rPr>
          <w:rFonts w:cstheme="minorHAnsi"/>
          <w:lang w:val="en-US"/>
        </w:rPr>
        <w:t xml:space="preserve">his General Comment should </w:t>
      </w:r>
      <w:r w:rsidR="00D675EC" w:rsidRPr="00D675EC">
        <w:rPr>
          <w:rFonts w:cstheme="minorHAnsi"/>
          <w:lang w:val="en-US"/>
        </w:rPr>
        <w:t xml:space="preserve">distinguish and </w:t>
      </w:r>
      <w:r w:rsidRPr="00D675EC">
        <w:rPr>
          <w:rFonts w:cstheme="minorHAnsi"/>
          <w:lang w:val="en-US"/>
        </w:rPr>
        <w:t>underscore the importance of addressing these broader soci</w:t>
      </w:r>
      <w:r w:rsidR="00A279EF">
        <w:rPr>
          <w:rFonts w:cstheme="minorHAnsi"/>
          <w:lang w:val="en-US"/>
        </w:rPr>
        <w:t>al determinants—</w:t>
      </w:r>
      <w:r w:rsidR="00A279EF" w:rsidRPr="00DF4F6F">
        <w:rPr>
          <w:rFonts w:cstheme="minorHAnsi"/>
        </w:rPr>
        <w:t>such as gender-based, r</w:t>
      </w:r>
      <w:r w:rsidR="00A279EF">
        <w:rPr>
          <w:rFonts w:cstheme="minorHAnsi"/>
        </w:rPr>
        <w:t>acial and ethnic discrimination</w:t>
      </w:r>
      <w:r w:rsidR="00A279EF">
        <w:rPr>
          <w:rFonts w:cstheme="minorHAnsi"/>
          <w:lang w:val="en-US"/>
        </w:rPr>
        <w:t>—</w:t>
      </w:r>
      <w:r w:rsidRPr="00D675EC">
        <w:rPr>
          <w:rFonts w:cstheme="minorHAnsi"/>
          <w:lang w:val="en-US"/>
        </w:rPr>
        <w:t xml:space="preserve">and the </w:t>
      </w:r>
      <w:r w:rsidR="00A279EF">
        <w:rPr>
          <w:rFonts w:cstheme="minorHAnsi"/>
          <w:lang w:val="en-US"/>
        </w:rPr>
        <w:t>human rights implications in</w:t>
      </w:r>
      <w:r w:rsidR="001947BC">
        <w:rPr>
          <w:rFonts w:cstheme="minorHAnsi"/>
          <w:lang w:val="en-US"/>
        </w:rPr>
        <w:t xml:space="preserve"> </w:t>
      </w:r>
      <w:r w:rsidR="00DC380B">
        <w:rPr>
          <w:rFonts w:cstheme="minorHAnsi"/>
          <w:lang w:val="en-US"/>
        </w:rPr>
        <w:t>implementing</w:t>
      </w:r>
      <w:r w:rsidRPr="00D675EC">
        <w:rPr>
          <w:rFonts w:cstheme="minorHAnsi"/>
          <w:lang w:val="en-US"/>
        </w:rPr>
        <w:t xml:space="preserve"> </w:t>
      </w:r>
      <w:r w:rsidRPr="00D675EC">
        <w:rPr>
          <w:rFonts w:cstheme="minorHAnsi"/>
        </w:rPr>
        <w:t>children’s right to health</w:t>
      </w:r>
      <w:r w:rsidR="00DC380B">
        <w:rPr>
          <w:rFonts w:cstheme="minorHAnsi"/>
        </w:rPr>
        <w:t xml:space="preserve"> through social determinants</w:t>
      </w:r>
      <w:r w:rsidRPr="00D675EC">
        <w:rPr>
          <w:rFonts w:cstheme="minorHAnsi"/>
          <w:lang w:val="en-US"/>
        </w:rPr>
        <w:t xml:space="preserve">.   In particular, this General Comment </w:t>
      </w:r>
      <w:r w:rsidRPr="00D675EC">
        <w:rPr>
          <w:rFonts w:cstheme="minorHAnsi"/>
        </w:rPr>
        <w:t xml:space="preserve">provides an opportunity to articulate explicitly how laws </w:t>
      </w:r>
      <w:r w:rsidR="00DC380B">
        <w:rPr>
          <w:rFonts w:cstheme="minorHAnsi"/>
        </w:rPr>
        <w:t xml:space="preserve">and policies </w:t>
      </w:r>
      <w:r w:rsidRPr="00D675EC">
        <w:rPr>
          <w:rFonts w:cstheme="minorHAnsi"/>
        </w:rPr>
        <w:t>act as social determinants of children’s right to health.   For example, both the criminalization of services (including abortion) and the criminalization of activities (such as sex work and IV drug use) a</w:t>
      </w:r>
      <w:r w:rsidR="00A279EF">
        <w:rPr>
          <w:rFonts w:cstheme="minorHAnsi"/>
        </w:rPr>
        <w:t>re causal factors</w:t>
      </w:r>
      <w:r w:rsidRPr="00D675EC">
        <w:rPr>
          <w:rFonts w:cstheme="minorHAnsi"/>
        </w:rPr>
        <w:t xml:space="preserve"> </w:t>
      </w:r>
      <w:r w:rsidR="00A279EF">
        <w:rPr>
          <w:rFonts w:cstheme="minorHAnsi"/>
        </w:rPr>
        <w:t>to</w:t>
      </w:r>
      <w:r w:rsidRPr="00D675EC">
        <w:rPr>
          <w:rFonts w:cstheme="minorHAnsi"/>
        </w:rPr>
        <w:t xml:space="preserve"> the distribution of morbidity and mortality </w:t>
      </w:r>
      <w:r w:rsidR="00A279EF">
        <w:rPr>
          <w:rFonts w:cstheme="minorHAnsi"/>
        </w:rPr>
        <w:t>among adolescents</w:t>
      </w:r>
      <w:r w:rsidR="00917DEB">
        <w:rPr>
          <w:rFonts w:cstheme="minorHAnsi"/>
        </w:rPr>
        <w:t xml:space="preserve"> specifically</w:t>
      </w:r>
      <w:r w:rsidRPr="00D675EC">
        <w:rPr>
          <w:rFonts w:cstheme="minorHAnsi"/>
        </w:rPr>
        <w:t xml:space="preserve">.  </w:t>
      </w:r>
      <w:r w:rsidR="00DC380B" w:rsidRPr="00D675EC">
        <w:rPr>
          <w:rFonts w:cstheme="minorHAnsi"/>
        </w:rPr>
        <w:t>Similarly</w:t>
      </w:r>
      <w:r w:rsidRPr="00D675EC">
        <w:rPr>
          <w:rFonts w:cstheme="minorHAnsi"/>
        </w:rPr>
        <w:t xml:space="preserve">, the failure to enact laws that proscribe child labor, </w:t>
      </w:r>
      <w:r w:rsidR="00A279EF">
        <w:rPr>
          <w:rFonts w:cstheme="minorHAnsi"/>
        </w:rPr>
        <w:t xml:space="preserve">discrimination (e.g., </w:t>
      </w:r>
      <w:r w:rsidR="00A279EF" w:rsidRPr="00D675EC">
        <w:rPr>
          <w:rFonts w:cstheme="minorHAnsi"/>
        </w:rPr>
        <w:t>forced pregnancy testing of school-age girls</w:t>
      </w:r>
      <w:r w:rsidR="00A279EF">
        <w:rPr>
          <w:rFonts w:cstheme="minorHAnsi"/>
        </w:rPr>
        <w:t xml:space="preserve">), </w:t>
      </w:r>
      <w:r w:rsidRPr="00D675EC">
        <w:rPr>
          <w:rFonts w:cstheme="minorHAnsi"/>
        </w:rPr>
        <w:t xml:space="preserve">child </w:t>
      </w:r>
      <w:r w:rsidR="00DC380B" w:rsidRPr="00D675EC">
        <w:rPr>
          <w:rFonts w:cstheme="minorHAnsi"/>
        </w:rPr>
        <w:t>marriage</w:t>
      </w:r>
      <w:r w:rsidRPr="00D675EC">
        <w:rPr>
          <w:rFonts w:cstheme="minorHAnsi"/>
        </w:rPr>
        <w:t xml:space="preserve"> and the like are </w:t>
      </w:r>
      <w:r w:rsidR="00DC380B" w:rsidRPr="00D675EC">
        <w:rPr>
          <w:rFonts w:cstheme="minorHAnsi"/>
        </w:rPr>
        <w:t xml:space="preserve">also </w:t>
      </w:r>
      <w:r w:rsidRPr="00D675EC">
        <w:rPr>
          <w:rFonts w:cstheme="minorHAnsi"/>
        </w:rPr>
        <w:t>determinative of patterns of morbidity and mortality.</w:t>
      </w:r>
    </w:p>
    <w:p w:rsidR="00BB02E0" w:rsidRDefault="004C6A12" w:rsidP="008C41C0">
      <w:pPr>
        <w:spacing w:line="240" w:lineRule="auto"/>
        <w:jc w:val="both"/>
        <w:rPr>
          <w:rFonts w:cstheme="minorHAnsi"/>
          <w:b/>
          <w:u w:val="single"/>
        </w:rPr>
      </w:pPr>
      <w:r w:rsidRPr="00F91F51">
        <w:rPr>
          <w:rFonts w:cstheme="minorHAnsi"/>
          <w:b/>
          <w:u w:val="single"/>
        </w:rPr>
        <w:t xml:space="preserve">The General Comment should emphasize </w:t>
      </w:r>
      <w:r w:rsidR="00BB02E0">
        <w:rPr>
          <w:rFonts w:cstheme="minorHAnsi"/>
          <w:b/>
          <w:u w:val="single"/>
        </w:rPr>
        <w:t xml:space="preserve">cross-cutting principles, including accountability, participation </w:t>
      </w:r>
      <w:r w:rsidR="005D3B5E">
        <w:rPr>
          <w:rFonts w:cstheme="minorHAnsi"/>
          <w:b/>
          <w:u w:val="single"/>
        </w:rPr>
        <w:t>and non-discrimination/equality</w:t>
      </w:r>
    </w:p>
    <w:p w:rsidR="004C6A12" w:rsidRPr="00BB02E0" w:rsidRDefault="00BB02E0" w:rsidP="008C41C0">
      <w:pPr>
        <w:pStyle w:val="ListParagraph"/>
        <w:numPr>
          <w:ilvl w:val="0"/>
          <w:numId w:val="8"/>
        </w:numPr>
        <w:spacing w:line="240" w:lineRule="auto"/>
        <w:jc w:val="both"/>
        <w:rPr>
          <w:rFonts w:cstheme="minorHAnsi"/>
          <w:u w:val="single"/>
        </w:rPr>
      </w:pPr>
      <w:r w:rsidRPr="003979A5">
        <w:rPr>
          <w:rFonts w:cstheme="minorHAnsi"/>
          <w:b/>
        </w:rPr>
        <w:t>A</w:t>
      </w:r>
      <w:r w:rsidR="004C6A12" w:rsidRPr="003979A5">
        <w:rPr>
          <w:rFonts w:cstheme="minorHAnsi"/>
          <w:b/>
        </w:rPr>
        <w:t>ccountability mechanisms, including</w:t>
      </w:r>
      <w:r w:rsidR="005D3B5E">
        <w:rPr>
          <w:rFonts w:cstheme="minorHAnsi"/>
          <w:b/>
        </w:rPr>
        <w:t xml:space="preserve"> rights-based indicators and</w:t>
      </w:r>
      <w:r w:rsidR="004C6A12" w:rsidRPr="003979A5">
        <w:rPr>
          <w:rFonts w:cstheme="minorHAnsi"/>
          <w:b/>
        </w:rPr>
        <w:t xml:space="preserve"> judicial enforcement </w:t>
      </w:r>
    </w:p>
    <w:p w:rsidR="00DF4F6F" w:rsidRPr="00DF4F6F" w:rsidRDefault="004C6A12" w:rsidP="008C41C0">
      <w:pPr>
        <w:pStyle w:val="Heading3"/>
        <w:spacing w:before="0" w:beforeAutospacing="0" w:after="0" w:afterAutospacing="0"/>
        <w:jc w:val="both"/>
        <w:rPr>
          <w:rFonts w:asciiTheme="minorHAnsi" w:hAnsiTheme="minorHAnsi" w:cstheme="minorHAnsi"/>
          <w:b w:val="0"/>
          <w:sz w:val="22"/>
          <w:szCs w:val="22"/>
          <w:lang w:val="en-US"/>
        </w:rPr>
      </w:pPr>
      <w:r w:rsidRPr="00DF4F6F">
        <w:rPr>
          <w:rFonts w:asciiTheme="minorHAnsi" w:hAnsiTheme="minorHAnsi" w:cstheme="minorHAnsi"/>
          <w:b w:val="0"/>
          <w:sz w:val="22"/>
          <w:szCs w:val="22"/>
          <w:lang w:val="en-US"/>
        </w:rPr>
        <w:t xml:space="preserve">The General Comment should provide guidelines for the establishment of systematic and effective monitoring and accountability systems within </w:t>
      </w:r>
      <w:r w:rsidR="00EE3C56">
        <w:rPr>
          <w:rFonts w:asciiTheme="minorHAnsi" w:hAnsiTheme="minorHAnsi" w:cstheme="minorHAnsi"/>
          <w:b w:val="0"/>
          <w:sz w:val="22"/>
          <w:szCs w:val="22"/>
          <w:lang w:val="en-US"/>
        </w:rPr>
        <w:t xml:space="preserve">States </w:t>
      </w:r>
      <w:r w:rsidR="002D072F">
        <w:rPr>
          <w:rFonts w:asciiTheme="minorHAnsi" w:hAnsiTheme="minorHAnsi" w:cstheme="minorHAnsi"/>
          <w:b w:val="0"/>
          <w:sz w:val="22"/>
          <w:szCs w:val="22"/>
          <w:lang w:val="en-US"/>
        </w:rPr>
        <w:t>P</w:t>
      </w:r>
      <w:r w:rsidR="00EE3C56">
        <w:rPr>
          <w:rFonts w:asciiTheme="minorHAnsi" w:hAnsiTheme="minorHAnsi" w:cstheme="minorHAnsi"/>
          <w:b w:val="0"/>
          <w:sz w:val="22"/>
          <w:szCs w:val="22"/>
          <w:lang w:val="en-US"/>
        </w:rPr>
        <w:t xml:space="preserve">arties </w:t>
      </w:r>
      <w:r w:rsidRPr="00DF4F6F">
        <w:rPr>
          <w:rFonts w:asciiTheme="minorHAnsi" w:hAnsiTheme="minorHAnsi" w:cstheme="minorHAnsi"/>
          <w:b w:val="0"/>
          <w:sz w:val="22"/>
          <w:szCs w:val="22"/>
          <w:lang w:val="en-US"/>
        </w:rPr>
        <w:t xml:space="preserve">to assess the obligations to respect, protect and fulfill </w:t>
      </w:r>
      <w:r w:rsidRPr="00DF4F6F">
        <w:rPr>
          <w:rFonts w:asciiTheme="minorHAnsi" w:hAnsiTheme="minorHAnsi" w:cstheme="minorHAnsi"/>
          <w:b w:val="0"/>
          <w:sz w:val="22"/>
          <w:szCs w:val="22"/>
        </w:rPr>
        <w:t>children’s right to health</w:t>
      </w:r>
      <w:r w:rsidRPr="00DF4F6F">
        <w:rPr>
          <w:rFonts w:asciiTheme="minorHAnsi" w:hAnsiTheme="minorHAnsi" w:cstheme="minorHAnsi"/>
          <w:b w:val="0"/>
          <w:sz w:val="22"/>
          <w:szCs w:val="22"/>
          <w:lang w:val="en-US"/>
        </w:rPr>
        <w:t>.  Systems to monitor</w:t>
      </w:r>
      <w:r w:rsidR="00B667B9">
        <w:rPr>
          <w:rFonts w:asciiTheme="minorHAnsi" w:hAnsiTheme="minorHAnsi" w:cstheme="minorHAnsi"/>
          <w:b w:val="0"/>
          <w:sz w:val="22"/>
          <w:szCs w:val="22"/>
          <w:lang w:val="en-US"/>
        </w:rPr>
        <w:t xml:space="preserve"> the</w:t>
      </w:r>
      <w:r w:rsidRPr="00DF4F6F">
        <w:rPr>
          <w:rFonts w:asciiTheme="minorHAnsi" w:hAnsiTheme="minorHAnsi" w:cstheme="minorHAnsi"/>
          <w:b w:val="0"/>
          <w:sz w:val="22"/>
          <w:szCs w:val="22"/>
          <w:lang w:val="en-US"/>
        </w:rPr>
        <w:t xml:space="preserve"> fulfillment of </w:t>
      </w:r>
      <w:r w:rsidRPr="00DF4F6F">
        <w:rPr>
          <w:rFonts w:asciiTheme="minorHAnsi" w:hAnsiTheme="minorHAnsi" w:cstheme="minorHAnsi"/>
          <w:b w:val="0"/>
          <w:sz w:val="22"/>
          <w:szCs w:val="22"/>
        </w:rPr>
        <w:t>children’s right to health</w:t>
      </w:r>
      <w:r w:rsidRPr="00DF4F6F">
        <w:rPr>
          <w:rFonts w:asciiTheme="minorHAnsi" w:hAnsiTheme="minorHAnsi" w:cstheme="minorHAnsi"/>
          <w:b w:val="0"/>
          <w:sz w:val="22"/>
          <w:szCs w:val="22"/>
          <w:lang w:val="en-US"/>
        </w:rPr>
        <w:t xml:space="preserve"> should not only assess health outcomes in light of these principles; they should also assess </w:t>
      </w:r>
      <w:r w:rsidR="002D072F">
        <w:rPr>
          <w:rFonts w:asciiTheme="minorHAnsi" w:hAnsiTheme="minorHAnsi" w:cstheme="minorHAnsi"/>
          <w:b w:val="0"/>
          <w:sz w:val="22"/>
          <w:szCs w:val="22"/>
          <w:lang w:val="en-US"/>
        </w:rPr>
        <w:t>S</w:t>
      </w:r>
      <w:r w:rsidRPr="00DF4F6F">
        <w:rPr>
          <w:rFonts w:asciiTheme="minorHAnsi" w:hAnsiTheme="minorHAnsi" w:cstheme="minorHAnsi"/>
          <w:b w:val="0"/>
          <w:sz w:val="22"/>
          <w:szCs w:val="22"/>
          <w:lang w:val="en-US"/>
        </w:rPr>
        <w:t>tates</w:t>
      </w:r>
      <w:r w:rsidR="00EE3C56">
        <w:rPr>
          <w:rFonts w:asciiTheme="minorHAnsi" w:hAnsiTheme="minorHAnsi" w:cstheme="minorHAnsi"/>
          <w:b w:val="0"/>
          <w:sz w:val="22"/>
          <w:szCs w:val="22"/>
          <w:lang w:val="en-US"/>
        </w:rPr>
        <w:t xml:space="preserve"> </w:t>
      </w:r>
      <w:r w:rsidR="002D072F">
        <w:rPr>
          <w:rFonts w:asciiTheme="minorHAnsi" w:hAnsiTheme="minorHAnsi" w:cstheme="minorHAnsi"/>
          <w:b w:val="0"/>
          <w:sz w:val="22"/>
          <w:szCs w:val="22"/>
          <w:lang w:val="en-US"/>
        </w:rPr>
        <w:t>P</w:t>
      </w:r>
      <w:r w:rsidR="00EE3C56">
        <w:rPr>
          <w:rFonts w:asciiTheme="minorHAnsi" w:hAnsiTheme="minorHAnsi" w:cstheme="minorHAnsi"/>
          <w:b w:val="0"/>
          <w:sz w:val="22"/>
          <w:szCs w:val="22"/>
          <w:lang w:val="en-US"/>
        </w:rPr>
        <w:t>arties</w:t>
      </w:r>
      <w:r w:rsidRPr="00DF4F6F">
        <w:rPr>
          <w:rFonts w:asciiTheme="minorHAnsi" w:hAnsiTheme="minorHAnsi" w:cstheme="minorHAnsi"/>
          <w:b w:val="0"/>
          <w:sz w:val="22"/>
          <w:szCs w:val="22"/>
          <w:lang w:val="en-US"/>
        </w:rPr>
        <w:t>’ policy efforts, including policy commitments and resource allocation</w:t>
      </w:r>
      <w:r w:rsidR="00B667B9">
        <w:rPr>
          <w:rFonts w:asciiTheme="minorHAnsi" w:hAnsiTheme="minorHAnsi" w:cstheme="minorHAnsi"/>
          <w:b w:val="0"/>
          <w:sz w:val="22"/>
          <w:szCs w:val="22"/>
          <w:lang w:val="en-US"/>
        </w:rPr>
        <w:t>s</w:t>
      </w:r>
      <w:r w:rsidRPr="00DF4F6F">
        <w:rPr>
          <w:rFonts w:asciiTheme="minorHAnsi" w:hAnsiTheme="minorHAnsi" w:cstheme="minorHAnsi"/>
          <w:b w:val="0"/>
          <w:sz w:val="22"/>
          <w:szCs w:val="22"/>
          <w:lang w:val="en-US"/>
        </w:rPr>
        <w:t xml:space="preserve">, based upon </w:t>
      </w:r>
      <w:r w:rsidRPr="00DF4F6F">
        <w:rPr>
          <w:rFonts w:asciiTheme="minorHAnsi" w:hAnsiTheme="minorHAnsi" w:cstheme="minorHAnsi"/>
          <w:b w:val="0"/>
          <w:sz w:val="22"/>
          <w:szCs w:val="22"/>
          <w:lang w:val="en-US"/>
        </w:rPr>
        <w:lastRenderedPageBreak/>
        <w:t>indicators that are rights-sensitive and programmatically-relevant.</w:t>
      </w:r>
      <w:r w:rsidRPr="00DF4F6F">
        <w:rPr>
          <w:rStyle w:val="FootnoteReference"/>
          <w:rFonts w:asciiTheme="minorHAnsi" w:hAnsiTheme="minorHAnsi" w:cstheme="minorHAnsi"/>
          <w:b w:val="0"/>
          <w:sz w:val="22"/>
          <w:szCs w:val="22"/>
          <w:lang w:val="en-US"/>
        </w:rPr>
        <w:footnoteReference w:id="18"/>
      </w:r>
      <w:r w:rsidRPr="00DF4F6F">
        <w:rPr>
          <w:rFonts w:asciiTheme="minorHAnsi" w:hAnsiTheme="minorHAnsi" w:cstheme="minorHAnsi"/>
          <w:b w:val="0"/>
          <w:sz w:val="22"/>
          <w:szCs w:val="22"/>
          <w:lang w:val="en-US"/>
        </w:rPr>
        <w:t xml:space="preserve"> </w:t>
      </w:r>
      <w:r w:rsidR="001D056D">
        <w:rPr>
          <w:rFonts w:asciiTheme="minorHAnsi" w:hAnsiTheme="minorHAnsi" w:cstheme="minorHAnsi"/>
          <w:b w:val="0"/>
          <w:sz w:val="22"/>
          <w:szCs w:val="22"/>
          <w:lang w:val="en-US"/>
        </w:rPr>
        <w:t xml:space="preserve"> </w:t>
      </w:r>
      <w:r w:rsidR="00A56260">
        <w:rPr>
          <w:rFonts w:asciiTheme="minorHAnsi" w:hAnsiTheme="minorHAnsi" w:cstheme="minorHAnsi"/>
          <w:b w:val="0"/>
          <w:sz w:val="22"/>
          <w:szCs w:val="22"/>
          <w:lang w:val="en-US"/>
        </w:rPr>
        <w:t>This is particularly important given the Committee’s desire to develop indicators</w:t>
      </w:r>
      <w:r w:rsidR="00244A66">
        <w:rPr>
          <w:rFonts w:asciiTheme="minorHAnsi" w:hAnsiTheme="minorHAnsi" w:cstheme="minorHAnsi"/>
          <w:b w:val="0"/>
          <w:sz w:val="22"/>
          <w:szCs w:val="22"/>
          <w:lang w:val="en-US"/>
        </w:rPr>
        <w:t xml:space="preserve"> with regard to Article 24</w:t>
      </w:r>
      <w:r w:rsidR="00A56260">
        <w:rPr>
          <w:rFonts w:asciiTheme="minorHAnsi" w:hAnsiTheme="minorHAnsi" w:cstheme="minorHAnsi"/>
          <w:b w:val="0"/>
          <w:sz w:val="22"/>
          <w:szCs w:val="22"/>
          <w:lang w:val="en-US"/>
        </w:rPr>
        <w:t>.</w:t>
      </w:r>
      <w:r w:rsidR="001D056D" w:rsidRPr="00DF4F6F">
        <w:rPr>
          <w:rFonts w:cstheme="minorHAnsi"/>
        </w:rPr>
        <w:t xml:space="preserve"> </w:t>
      </w:r>
    </w:p>
    <w:p w:rsidR="00DF4F6F" w:rsidRPr="00DF4F6F" w:rsidRDefault="00DF4F6F" w:rsidP="008C41C0">
      <w:pPr>
        <w:pStyle w:val="Heading3"/>
        <w:spacing w:before="0" w:beforeAutospacing="0" w:after="0" w:afterAutospacing="0"/>
        <w:jc w:val="both"/>
        <w:rPr>
          <w:rFonts w:asciiTheme="minorHAnsi" w:hAnsiTheme="minorHAnsi" w:cstheme="minorHAnsi"/>
          <w:b w:val="0"/>
          <w:sz w:val="22"/>
          <w:szCs w:val="22"/>
          <w:lang w:val="en-US"/>
        </w:rPr>
      </w:pPr>
    </w:p>
    <w:p w:rsidR="00DF4F6F" w:rsidRPr="00DF4F6F" w:rsidRDefault="0013283D" w:rsidP="008C41C0">
      <w:pPr>
        <w:spacing w:line="240" w:lineRule="auto"/>
        <w:jc w:val="both"/>
        <w:rPr>
          <w:rFonts w:eastAsia="Calibri" w:cstheme="minorHAnsi"/>
        </w:rPr>
      </w:pPr>
      <w:r>
        <w:rPr>
          <w:rFonts w:eastAsia="Calibri" w:cstheme="minorHAnsi"/>
        </w:rPr>
        <w:t>M</w:t>
      </w:r>
      <w:r w:rsidR="00DF4F6F" w:rsidRPr="00DF4F6F">
        <w:rPr>
          <w:rFonts w:eastAsia="Calibri" w:cstheme="minorHAnsi"/>
        </w:rPr>
        <w:t xml:space="preserve">onitoring alone, however, is not sufficient to </w:t>
      </w:r>
      <w:r w:rsidR="001D056D">
        <w:rPr>
          <w:rFonts w:eastAsia="Calibri" w:cstheme="minorHAnsi"/>
        </w:rPr>
        <w:t>facilitate</w:t>
      </w:r>
      <w:r w:rsidR="00DF4F6F" w:rsidRPr="00DF4F6F">
        <w:rPr>
          <w:rFonts w:eastAsia="Calibri" w:cstheme="minorHAnsi"/>
        </w:rPr>
        <w:t xml:space="preserve"> accountability.  In recent years, it has become increasingly evident that judicial remedies have a key role to play in facilitating deliberation as well as providing restitution, rehabilitation and compensation. Judicial remedies have proven critical in at least four areas related to </w:t>
      </w:r>
      <w:r w:rsidR="00DF4F6F" w:rsidRPr="00DF4F6F">
        <w:rPr>
          <w:rFonts w:cstheme="minorHAnsi"/>
        </w:rPr>
        <w:t>children’s right to health</w:t>
      </w:r>
      <w:r w:rsidR="00DF4F6F" w:rsidRPr="00DF4F6F">
        <w:rPr>
          <w:rFonts w:eastAsia="Calibri" w:cstheme="minorHAnsi"/>
        </w:rPr>
        <w:t xml:space="preserve">:  implementation of existing laws and policies; reform of policies and budgets that fail to meet standards required by the </w:t>
      </w:r>
      <w:r w:rsidR="00DF4F6F" w:rsidRPr="00DF4F6F">
        <w:rPr>
          <w:rFonts w:cstheme="minorHAnsi"/>
        </w:rPr>
        <w:t>children’s right to health</w:t>
      </w:r>
      <w:r w:rsidR="00DF4F6F" w:rsidRPr="00DF4F6F">
        <w:rPr>
          <w:rFonts w:eastAsia="Calibri" w:cstheme="minorHAnsi"/>
        </w:rPr>
        <w:t>;</w:t>
      </w:r>
      <w:r w:rsidR="00DF4F6F" w:rsidRPr="00DF4F6F">
        <w:rPr>
          <w:rStyle w:val="EndnoteReference"/>
          <w:rFonts w:eastAsia="Calibri" w:cstheme="minorHAnsi"/>
        </w:rPr>
        <w:t xml:space="preserve"> </w:t>
      </w:r>
      <w:r w:rsidR="00DF4F6F" w:rsidRPr="00DF4F6F">
        <w:rPr>
          <w:rFonts w:eastAsia="Calibri" w:cstheme="minorHAnsi"/>
        </w:rPr>
        <w:t>removal of legal restrictions on care;</w:t>
      </w:r>
      <w:r w:rsidR="00DF4F6F" w:rsidRPr="00DF4F6F">
        <w:rPr>
          <w:rStyle w:val="EndnoteReference"/>
          <w:rFonts w:eastAsia="Calibri" w:cstheme="minorHAnsi"/>
        </w:rPr>
        <w:t xml:space="preserve"> </w:t>
      </w:r>
      <w:r w:rsidR="00DF4F6F" w:rsidRPr="00DF4F6F">
        <w:rPr>
          <w:rFonts w:eastAsia="Calibri" w:cstheme="minorHAnsi"/>
        </w:rPr>
        <w:t xml:space="preserve">and challenges to systemic violations of </w:t>
      </w:r>
      <w:r w:rsidR="00DF4F6F" w:rsidRPr="00DF4F6F">
        <w:rPr>
          <w:rFonts w:cstheme="minorHAnsi"/>
        </w:rPr>
        <w:t>children’s right to health</w:t>
      </w:r>
      <w:r w:rsidR="00DF4F6F" w:rsidRPr="00DF4F6F">
        <w:rPr>
          <w:rFonts w:eastAsia="Calibri" w:cstheme="minorHAnsi"/>
        </w:rPr>
        <w:t xml:space="preserve"> in practice.</w:t>
      </w:r>
      <w:r w:rsidR="00312F3D">
        <w:rPr>
          <w:rStyle w:val="FootnoteReference"/>
          <w:rFonts w:eastAsia="Calibri" w:cstheme="minorHAnsi"/>
        </w:rPr>
        <w:footnoteReference w:id="19"/>
      </w:r>
      <w:r w:rsidR="00DF4F6F" w:rsidRPr="00DF4F6F">
        <w:rPr>
          <w:rFonts w:eastAsia="Calibri" w:cstheme="minorHAnsi"/>
        </w:rPr>
        <w:t xml:space="preserve"> </w:t>
      </w:r>
    </w:p>
    <w:p w:rsidR="00DF4F6F" w:rsidRDefault="00DF4F6F" w:rsidP="008C41C0">
      <w:pPr>
        <w:spacing w:line="240" w:lineRule="auto"/>
        <w:jc w:val="both"/>
        <w:rPr>
          <w:rFonts w:eastAsia="Calibri" w:cstheme="minorHAnsi"/>
        </w:rPr>
      </w:pPr>
      <w:r w:rsidRPr="00DF4F6F">
        <w:rPr>
          <w:rFonts w:eastAsia="Calibri" w:cstheme="minorHAnsi"/>
        </w:rPr>
        <w:t xml:space="preserve">It is critical, in keeping with the evolution in international law as well as national jurisprudence, for this General Comment to underscore the importance of establishing both accessible and effective accountability mechanisms with respect to </w:t>
      </w:r>
      <w:r w:rsidRPr="00DF4F6F">
        <w:rPr>
          <w:rFonts w:cstheme="minorHAnsi"/>
        </w:rPr>
        <w:t>children’s right to health</w:t>
      </w:r>
      <w:r w:rsidRPr="00DF4F6F">
        <w:rPr>
          <w:rFonts w:eastAsia="Calibri" w:cstheme="minorHAnsi"/>
        </w:rPr>
        <w:t xml:space="preserve">, including judicial remedies and other institutions, such as National Human Rights Institutions </w:t>
      </w:r>
      <w:r w:rsidR="002C465F">
        <w:rPr>
          <w:rFonts w:eastAsia="Calibri" w:cstheme="minorHAnsi"/>
        </w:rPr>
        <w:t>consistent</w:t>
      </w:r>
      <w:r w:rsidRPr="00DF4F6F">
        <w:rPr>
          <w:rFonts w:eastAsia="Calibri" w:cstheme="minorHAnsi"/>
        </w:rPr>
        <w:t xml:space="preserve"> with  the jurisprudence of the Committee. </w:t>
      </w:r>
    </w:p>
    <w:p w:rsidR="003979A5" w:rsidRPr="003979A5" w:rsidRDefault="003979A5" w:rsidP="008C41C0">
      <w:pPr>
        <w:pStyle w:val="ListParagraph"/>
        <w:numPr>
          <w:ilvl w:val="0"/>
          <w:numId w:val="8"/>
        </w:numPr>
        <w:spacing w:line="240" w:lineRule="auto"/>
        <w:jc w:val="both"/>
        <w:rPr>
          <w:rFonts w:eastAsia="Calibri" w:cstheme="minorHAnsi"/>
          <w:b/>
        </w:rPr>
      </w:pPr>
      <w:r w:rsidRPr="003979A5">
        <w:rPr>
          <w:rFonts w:eastAsia="Calibri" w:cstheme="minorHAnsi"/>
          <w:b/>
        </w:rPr>
        <w:t xml:space="preserve">Meaningful Participation of children </w:t>
      </w:r>
    </w:p>
    <w:p w:rsidR="00CA526C" w:rsidRDefault="00CA526C" w:rsidP="008C41C0">
      <w:pPr>
        <w:spacing w:line="240" w:lineRule="auto"/>
        <w:jc w:val="both"/>
        <w:rPr>
          <w:rFonts w:cstheme="minorHAnsi"/>
          <w:color w:val="000000" w:themeColor="text1"/>
          <w:lang w:val="en-US"/>
        </w:rPr>
      </w:pPr>
      <w:r w:rsidRPr="003979A5">
        <w:rPr>
          <w:rFonts w:cstheme="minorHAnsi"/>
          <w:lang w:val="en-US"/>
        </w:rPr>
        <w:t>The General Comment should highlight the need to ensure the full participation of affected communities and indi</w:t>
      </w:r>
      <w:r w:rsidR="005D3B5E">
        <w:rPr>
          <w:rFonts w:cstheme="minorHAnsi"/>
          <w:lang w:val="en-US"/>
        </w:rPr>
        <w:t>vidual children</w:t>
      </w:r>
      <w:r w:rsidRPr="003979A5">
        <w:rPr>
          <w:rFonts w:cstheme="minorHAnsi"/>
          <w:lang w:val="en-US"/>
        </w:rPr>
        <w:t xml:space="preserve"> in the design, implementation and monitoring of policies relevant to </w:t>
      </w:r>
      <w:r w:rsidRPr="003979A5">
        <w:rPr>
          <w:rFonts w:cstheme="minorHAnsi"/>
        </w:rPr>
        <w:t>children’s right to health</w:t>
      </w:r>
      <w:r w:rsidRPr="003979A5">
        <w:rPr>
          <w:rFonts w:cstheme="minorHAnsi"/>
          <w:lang w:val="en-US"/>
        </w:rPr>
        <w:t xml:space="preserve">. </w:t>
      </w:r>
      <w:r w:rsidRPr="00DF4F6F">
        <w:rPr>
          <w:rFonts w:cstheme="minorHAnsi"/>
          <w:color w:val="000000" w:themeColor="text1"/>
        </w:rPr>
        <w:t xml:space="preserve">The authors believe strongly that this General Comment should reflect the concern encapsulated in provisions such as </w:t>
      </w:r>
      <w:r w:rsidR="005D3B5E">
        <w:rPr>
          <w:rFonts w:cstheme="minorHAnsi"/>
          <w:color w:val="000000" w:themeColor="text1"/>
        </w:rPr>
        <w:t>Article 5 and 12 of the CRC,</w:t>
      </w:r>
      <w:r w:rsidRPr="00DF4F6F">
        <w:rPr>
          <w:rFonts w:cstheme="minorHAnsi"/>
          <w:color w:val="000000" w:themeColor="text1"/>
        </w:rPr>
        <w:t xml:space="preserve"> giving effect to the existing capacity and/or ensuring the future capacity of child right-holders as related to health. As such, it is vital that the proposed General Comment provide guidance on maximi</w:t>
      </w:r>
      <w:r w:rsidR="00917DEB">
        <w:rPr>
          <w:rFonts w:cstheme="minorHAnsi"/>
          <w:color w:val="000000" w:themeColor="text1"/>
        </w:rPr>
        <w:t>z</w:t>
      </w:r>
      <w:r w:rsidRPr="00DF4F6F">
        <w:rPr>
          <w:rFonts w:cstheme="minorHAnsi"/>
          <w:color w:val="000000" w:themeColor="text1"/>
        </w:rPr>
        <w:t xml:space="preserve">ing opportunities for child participation and </w:t>
      </w:r>
      <w:r w:rsidRPr="00DF4F6F">
        <w:rPr>
          <w:rFonts w:cstheme="minorHAnsi"/>
          <w:color w:val="000000" w:themeColor="text1"/>
          <w:lang w:val="en-US"/>
        </w:rPr>
        <w:t xml:space="preserve">autonomous decision-making with regard to health. This is important not just in the context of decision-making involving individual children’s specific health needs </w:t>
      </w:r>
      <w:r w:rsidR="005D3B5E">
        <w:rPr>
          <w:rFonts w:cstheme="minorHAnsi"/>
          <w:color w:val="000000" w:themeColor="text1"/>
          <w:lang w:val="en-US"/>
        </w:rPr>
        <w:t>(</w:t>
      </w:r>
      <w:r w:rsidRPr="00DF4F6F">
        <w:rPr>
          <w:rFonts w:cstheme="minorHAnsi"/>
          <w:color w:val="000000" w:themeColor="text1"/>
          <w:lang w:val="en-US"/>
        </w:rPr>
        <w:t>and ensuring the provision of information to children</w:t>
      </w:r>
      <w:r w:rsidR="005D3B5E">
        <w:rPr>
          <w:rFonts w:cstheme="minorHAnsi"/>
          <w:color w:val="000000" w:themeColor="text1"/>
          <w:lang w:val="en-US"/>
        </w:rPr>
        <w:t>)</w:t>
      </w:r>
      <w:r w:rsidRPr="00DF4F6F">
        <w:rPr>
          <w:rFonts w:cstheme="minorHAnsi"/>
          <w:color w:val="000000" w:themeColor="text1"/>
          <w:lang w:val="en-US"/>
        </w:rPr>
        <w:t xml:space="preserve"> but </w:t>
      </w:r>
      <w:r w:rsidR="005D3B5E">
        <w:rPr>
          <w:rFonts w:cstheme="minorHAnsi"/>
          <w:color w:val="000000" w:themeColor="text1"/>
          <w:lang w:val="en-US"/>
        </w:rPr>
        <w:t xml:space="preserve">also </w:t>
      </w:r>
      <w:r w:rsidRPr="00DF4F6F">
        <w:rPr>
          <w:rFonts w:cstheme="minorHAnsi"/>
          <w:color w:val="000000" w:themeColor="text1"/>
          <w:lang w:val="en-US"/>
        </w:rPr>
        <w:t xml:space="preserve">at a systemic level relating to the development and implementation of health-related policy and service delivery. </w:t>
      </w:r>
      <w:r w:rsidR="00F80ACD">
        <w:rPr>
          <w:rFonts w:cstheme="minorHAnsi"/>
          <w:color w:val="000000" w:themeColor="text1"/>
          <w:lang w:val="en-US"/>
        </w:rPr>
        <w:t>Such an approach</w:t>
      </w:r>
      <w:r w:rsidRPr="00DF4F6F">
        <w:rPr>
          <w:rFonts w:cstheme="minorHAnsi"/>
          <w:color w:val="000000" w:themeColor="text1"/>
          <w:lang w:val="en-US"/>
        </w:rPr>
        <w:t xml:space="preserve"> will require building upon the statements of the Committee </w:t>
      </w:r>
      <w:r w:rsidR="005D3B5E">
        <w:rPr>
          <w:rFonts w:cstheme="minorHAnsi"/>
          <w:color w:val="000000" w:themeColor="text1"/>
          <w:lang w:val="en-US"/>
        </w:rPr>
        <w:t xml:space="preserve">in General Comments </w:t>
      </w:r>
      <w:r w:rsidRPr="00DF4F6F">
        <w:rPr>
          <w:rFonts w:cstheme="minorHAnsi"/>
          <w:color w:val="000000" w:themeColor="text1"/>
          <w:lang w:val="en-US"/>
        </w:rPr>
        <w:t>12</w:t>
      </w:r>
      <w:r w:rsidR="005D3B5E">
        <w:rPr>
          <w:rFonts w:cstheme="minorHAnsi"/>
          <w:color w:val="000000" w:themeColor="text1"/>
          <w:lang w:val="en-US"/>
        </w:rPr>
        <w:t>,</w:t>
      </w:r>
      <w:r w:rsidRPr="00DF4F6F">
        <w:rPr>
          <w:rStyle w:val="FootnoteReference"/>
          <w:rFonts w:cstheme="minorHAnsi"/>
          <w:color w:val="000000" w:themeColor="text1"/>
          <w:lang w:val="en-US"/>
        </w:rPr>
        <w:footnoteReference w:id="20"/>
      </w:r>
      <w:r w:rsidR="005D3B5E">
        <w:rPr>
          <w:rFonts w:cstheme="minorHAnsi"/>
          <w:color w:val="000000" w:themeColor="text1"/>
          <w:lang w:val="en-US"/>
        </w:rPr>
        <w:t xml:space="preserve"> 3</w:t>
      </w:r>
      <w:r w:rsidRPr="00DF4F6F">
        <w:rPr>
          <w:rFonts w:cstheme="minorHAnsi"/>
          <w:color w:val="000000" w:themeColor="text1"/>
          <w:lang w:val="en-US"/>
        </w:rPr>
        <w:t>,</w:t>
      </w:r>
      <w:r w:rsidRPr="00DF4F6F">
        <w:rPr>
          <w:rStyle w:val="FootnoteReference"/>
          <w:rFonts w:cstheme="minorHAnsi"/>
          <w:color w:val="000000" w:themeColor="text1"/>
          <w:lang w:val="en-US"/>
        </w:rPr>
        <w:footnoteReference w:id="21"/>
      </w:r>
      <w:r w:rsidR="005D3B5E">
        <w:rPr>
          <w:rFonts w:cstheme="minorHAnsi"/>
          <w:color w:val="000000" w:themeColor="text1"/>
          <w:lang w:val="en-US"/>
        </w:rPr>
        <w:t xml:space="preserve"> and </w:t>
      </w:r>
      <w:r w:rsidRPr="00DF4F6F">
        <w:rPr>
          <w:rFonts w:cstheme="minorHAnsi"/>
          <w:color w:val="000000" w:themeColor="text1"/>
          <w:lang w:val="en-US"/>
        </w:rPr>
        <w:t>4,</w:t>
      </w:r>
      <w:r w:rsidRPr="00DF4F6F">
        <w:rPr>
          <w:rStyle w:val="FootnoteReference"/>
          <w:rFonts w:cstheme="minorHAnsi"/>
          <w:color w:val="000000" w:themeColor="text1"/>
          <w:lang w:val="en-US"/>
        </w:rPr>
        <w:footnoteReference w:id="22"/>
      </w:r>
      <w:r w:rsidRPr="00DF4F6F">
        <w:rPr>
          <w:rFonts w:cstheme="minorHAnsi"/>
          <w:color w:val="000000" w:themeColor="text1"/>
          <w:lang w:val="en-US"/>
        </w:rPr>
        <w:t xml:space="preserve"> and should include the provision of specific proposals with regard to effectively mainstreaming children in health decision-making processes.</w:t>
      </w:r>
      <w:r w:rsidRPr="00DF4F6F">
        <w:rPr>
          <w:rStyle w:val="FootnoteReference"/>
          <w:rFonts w:cstheme="minorHAnsi"/>
          <w:color w:val="000000" w:themeColor="text1"/>
          <w:lang w:val="en-US"/>
        </w:rPr>
        <w:footnoteReference w:id="23"/>
      </w:r>
      <w:r w:rsidRPr="00DF4F6F">
        <w:rPr>
          <w:rFonts w:cstheme="minorHAnsi"/>
          <w:color w:val="000000" w:themeColor="text1"/>
          <w:lang w:val="en-US"/>
        </w:rPr>
        <w:t xml:space="preserve"> In doing so, in accordance with their evolving capacity</w:t>
      </w:r>
      <w:r w:rsidR="008E76E5">
        <w:rPr>
          <w:rFonts w:cstheme="minorHAnsi"/>
          <w:color w:val="000000" w:themeColor="text1"/>
          <w:lang w:val="en-US"/>
        </w:rPr>
        <w:t>,</w:t>
      </w:r>
      <w:r w:rsidRPr="00DF4F6F">
        <w:rPr>
          <w:rFonts w:cstheme="minorHAnsi"/>
          <w:color w:val="000000" w:themeColor="text1"/>
          <w:lang w:val="en-US"/>
        </w:rPr>
        <w:t xml:space="preserve"> children must be treated as genuine participants rather than simply as providers </w:t>
      </w:r>
      <w:r w:rsidRPr="00DF4F6F">
        <w:rPr>
          <w:rFonts w:cstheme="minorHAnsi"/>
          <w:color w:val="000000" w:themeColor="text1"/>
          <w:lang w:val="en-US"/>
        </w:rPr>
        <w:lastRenderedPageBreak/>
        <w:t>of information through consultative processes</w:t>
      </w:r>
      <w:r w:rsidR="00917DEB">
        <w:rPr>
          <w:rFonts w:cstheme="minorHAnsi"/>
          <w:color w:val="000000" w:themeColor="text1"/>
          <w:lang w:val="en-US"/>
        </w:rPr>
        <w:t xml:space="preserve"> that</w:t>
      </w:r>
      <w:r w:rsidRPr="00DF4F6F">
        <w:rPr>
          <w:rFonts w:cstheme="minorHAnsi"/>
          <w:color w:val="000000" w:themeColor="text1"/>
          <w:lang w:val="en-US"/>
        </w:rPr>
        <w:t xml:space="preserve"> is subsequently mediated and acted on (or not) by adults.</w:t>
      </w:r>
      <w:r w:rsidRPr="00DF4F6F">
        <w:rPr>
          <w:rStyle w:val="FootnoteReference"/>
          <w:rFonts w:cstheme="minorHAnsi"/>
          <w:color w:val="000000" w:themeColor="text1"/>
          <w:lang w:val="en-US"/>
        </w:rPr>
        <w:footnoteReference w:id="24"/>
      </w:r>
      <w:r w:rsidRPr="00DF4F6F">
        <w:rPr>
          <w:rFonts w:cstheme="minorHAnsi"/>
          <w:color w:val="000000" w:themeColor="text1"/>
          <w:lang w:val="en-US"/>
        </w:rPr>
        <w:t xml:space="preserve">  </w:t>
      </w:r>
    </w:p>
    <w:p w:rsidR="004A7115" w:rsidRPr="001D09B5" w:rsidRDefault="004A7115" w:rsidP="008C41C0">
      <w:pPr>
        <w:pStyle w:val="ListParagraph"/>
        <w:numPr>
          <w:ilvl w:val="0"/>
          <w:numId w:val="8"/>
        </w:numPr>
        <w:spacing w:line="240" w:lineRule="auto"/>
        <w:jc w:val="both"/>
        <w:rPr>
          <w:rFonts w:cstheme="minorHAnsi"/>
          <w:b/>
        </w:rPr>
      </w:pPr>
      <w:r w:rsidRPr="001D09B5">
        <w:rPr>
          <w:rFonts w:cstheme="minorHAnsi"/>
          <w:b/>
        </w:rPr>
        <w:t>Equality and non-discrimination</w:t>
      </w:r>
    </w:p>
    <w:p w:rsidR="004A7115" w:rsidRDefault="004A7115" w:rsidP="008C41C0">
      <w:pPr>
        <w:spacing w:line="240" w:lineRule="auto"/>
        <w:jc w:val="both"/>
        <w:rPr>
          <w:rFonts w:cstheme="minorHAnsi"/>
        </w:rPr>
      </w:pPr>
      <w:r>
        <w:rPr>
          <w:rFonts w:cstheme="minorHAnsi"/>
        </w:rPr>
        <w:t>The jurisprudence of the Committee has signalled a strong support for both formal and substantive equality</w:t>
      </w:r>
      <w:r w:rsidR="00FC5894">
        <w:rPr>
          <w:rFonts w:cstheme="minorHAnsi"/>
        </w:rPr>
        <w:t>, ensuring</w:t>
      </w:r>
      <w:r w:rsidR="00FC5894" w:rsidRPr="00FC5894">
        <w:rPr>
          <w:rFonts w:cstheme="minorHAnsi"/>
        </w:rPr>
        <w:t xml:space="preserve"> that </w:t>
      </w:r>
      <w:r w:rsidR="00FC5894">
        <w:rPr>
          <w:rFonts w:cstheme="minorHAnsi"/>
        </w:rPr>
        <w:t>children and adolescents do not suffer discrimination</w:t>
      </w:r>
      <w:r w:rsidR="00FC5894" w:rsidRPr="00FC5894">
        <w:rPr>
          <w:rFonts w:cstheme="minorHAnsi"/>
        </w:rPr>
        <w:t xml:space="preserve"> and that they can enjoy full equality</w:t>
      </w:r>
      <w:r w:rsidR="00FC5894">
        <w:rPr>
          <w:rFonts w:cstheme="minorHAnsi"/>
        </w:rPr>
        <w:t>.</w:t>
      </w:r>
      <w:r w:rsidR="00FC5894" w:rsidRPr="00FC5894">
        <w:rPr>
          <w:rFonts w:cstheme="minorHAnsi"/>
        </w:rPr>
        <w:t xml:space="preserve"> </w:t>
      </w:r>
      <w:r w:rsidR="00FC5894">
        <w:rPr>
          <w:rFonts w:cstheme="minorHAnsi"/>
        </w:rPr>
        <w:t>T</w:t>
      </w:r>
      <w:r w:rsidR="00D33543">
        <w:rPr>
          <w:rFonts w:cstheme="minorHAnsi"/>
        </w:rPr>
        <w:t>his General Comment provides an opportunity to explicate</w:t>
      </w:r>
      <w:r w:rsidR="003017EF">
        <w:rPr>
          <w:rFonts w:cstheme="minorHAnsi"/>
        </w:rPr>
        <w:t xml:space="preserve"> in greater detail the two concepts</w:t>
      </w:r>
      <w:r w:rsidR="00D33543">
        <w:rPr>
          <w:rFonts w:cstheme="minorHAnsi"/>
        </w:rPr>
        <w:t xml:space="preserve">.  </w:t>
      </w:r>
      <w:r w:rsidR="00FC5894">
        <w:rPr>
          <w:rFonts w:cstheme="minorHAnsi"/>
        </w:rPr>
        <w:t>In reducing discrimination, children and adolescents are particularly subject to overlapping and intersecting forms of discrimination, and the Committee should clearly signal its understanding of such structural discrimination in the General Comment.  Moving beyond the elimination of discrimination to achieve substantive equality (equality in law and fact)</w:t>
      </w:r>
      <w:r w:rsidR="00D33543">
        <w:rPr>
          <w:rFonts w:cstheme="minorHAnsi"/>
        </w:rPr>
        <w:t xml:space="preserve">, the </w:t>
      </w:r>
      <w:r w:rsidR="003017EF">
        <w:rPr>
          <w:rFonts w:cstheme="minorHAnsi"/>
        </w:rPr>
        <w:t>relationship</w:t>
      </w:r>
      <w:r w:rsidR="00D33543">
        <w:rPr>
          <w:rFonts w:cstheme="minorHAnsi"/>
        </w:rPr>
        <w:t xml:space="preserve"> between formal equality and universality of services</w:t>
      </w:r>
      <w:r w:rsidR="003017EF">
        <w:rPr>
          <w:rFonts w:cstheme="minorHAnsi"/>
        </w:rPr>
        <w:t xml:space="preserve"> is critically important in the context of designing health policies and programs for children and adolescents</w:t>
      </w:r>
      <w:r w:rsidR="001D09B5">
        <w:rPr>
          <w:rFonts w:cstheme="minorHAnsi"/>
        </w:rPr>
        <w:t xml:space="preserve">.  </w:t>
      </w:r>
      <w:r w:rsidR="00FC5894">
        <w:rPr>
          <w:rFonts w:cstheme="minorHAnsi"/>
        </w:rPr>
        <w:t>To this end</w:t>
      </w:r>
      <w:r w:rsidR="001D09B5">
        <w:rPr>
          <w:rFonts w:cstheme="minorHAnsi"/>
        </w:rPr>
        <w:t xml:space="preserve">, the </w:t>
      </w:r>
      <w:r w:rsidR="00093901">
        <w:rPr>
          <w:rFonts w:cstheme="minorHAnsi"/>
        </w:rPr>
        <w:t xml:space="preserve">Committee should consider </w:t>
      </w:r>
      <w:r w:rsidR="007C4132">
        <w:rPr>
          <w:rFonts w:cstheme="minorHAnsi"/>
        </w:rPr>
        <w:t xml:space="preserve">the </w:t>
      </w:r>
      <w:r w:rsidR="001D09B5">
        <w:rPr>
          <w:rFonts w:cstheme="minorHAnsi"/>
        </w:rPr>
        <w:t xml:space="preserve">extent to which substantive equality demands </w:t>
      </w:r>
      <w:r w:rsidR="005D2020">
        <w:rPr>
          <w:rFonts w:cstheme="minorHAnsi"/>
        </w:rPr>
        <w:t>positive action or temporary special measures</w:t>
      </w:r>
      <w:r w:rsidR="001D09B5">
        <w:rPr>
          <w:rFonts w:cstheme="minorHAnsi"/>
        </w:rPr>
        <w:t xml:space="preserve"> for </w:t>
      </w:r>
      <w:r w:rsidR="005D2020">
        <w:rPr>
          <w:rFonts w:cstheme="minorHAnsi"/>
        </w:rPr>
        <w:t>children (or particular groups of</w:t>
      </w:r>
      <w:r w:rsidR="001D09B5">
        <w:rPr>
          <w:rFonts w:cstheme="minorHAnsi"/>
        </w:rPr>
        <w:t xml:space="preserve"> children</w:t>
      </w:r>
      <w:r w:rsidR="008E1180">
        <w:rPr>
          <w:rFonts w:cstheme="minorHAnsi"/>
        </w:rPr>
        <w:t>)</w:t>
      </w:r>
      <w:r w:rsidR="00000EB1">
        <w:rPr>
          <w:rFonts w:cstheme="minorHAnsi"/>
        </w:rPr>
        <w:t>,</w:t>
      </w:r>
      <w:r w:rsidR="00707942">
        <w:rPr>
          <w:rFonts w:cstheme="minorHAnsi"/>
        </w:rPr>
        <w:t xml:space="preserve"> such as priority in health service delivery</w:t>
      </w:r>
      <w:bookmarkStart w:id="0" w:name="_GoBack"/>
      <w:bookmarkEnd w:id="0"/>
      <w:r w:rsidR="00093901">
        <w:rPr>
          <w:rFonts w:cstheme="minorHAnsi"/>
        </w:rPr>
        <w:t xml:space="preserve"> or the allocation of resources to previously underserved areas</w:t>
      </w:r>
      <w:r w:rsidR="00FC5894">
        <w:rPr>
          <w:rFonts w:cstheme="minorHAnsi"/>
        </w:rPr>
        <w:t xml:space="preserve"> of child and adolescent health</w:t>
      </w:r>
      <w:r w:rsidR="00093901">
        <w:rPr>
          <w:rFonts w:cstheme="minorHAnsi"/>
        </w:rPr>
        <w:t>.</w:t>
      </w:r>
    </w:p>
    <w:p w:rsidR="00990543" w:rsidRPr="00DF4F6F" w:rsidRDefault="00990543" w:rsidP="008C41C0">
      <w:pPr>
        <w:jc w:val="both"/>
        <w:rPr>
          <w:rFonts w:cstheme="minorHAnsi"/>
          <w:color w:val="000000" w:themeColor="text1"/>
          <w:u w:val="single"/>
          <w:lang w:val="en-US"/>
        </w:rPr>
      </w:pPr>
    </w:p>
    <w:sectPr w:rsidR="00990543" w:rsidRPr="00DF4F6F" w:rsidSect="005D3B5E">
      <w:footerReference w:type="default" r:id="rId9"/>
      <w:pgSz w:w="11900" w:h="1682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C0" w:rsidRDefault="008C41C0" w:rsidP="00EF606A">
      <w:pPr>
        <w:spacing w:after="0" w:line="240" w:lineRule="auto"/>
      </w:pPr>
      <w:r>
        <w:separator/>
      </w:r>
    </w:p>
  </w:endnote>
  <w:endnote w:type="continuationSeparator" w:id="0">
    <w:p w:rsidR="008C41C0" w:rsidRDefault="008C41C0" w:rsidP="00EF6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14148"/>
      <w:docPartObj>
        <w:docPartGallery w:val="Page Numbers (Bottom of Page)"/>
        <w:docPartUnique/>
      </w:docPartObj>
    </w:sdtPr>
    <w:sdtContent>
      <w:p w:rsidR="008C41C0" w:rsidRDefault="002E08E6">
        <w:pPr>
          <w:pStyle w:val="Footer"/>
          <w:jc w:val="center"/>
        </w:pPr>
        <w:fldSimple w:instr=" PAGE   \* MERGEFORMAT ">
          <w:r w:rsidR="00C461AE">
            <w:rPr>
              <w:noProof/>
            </w:rPr>
            <w:t>2</w:t>
          </w:r>
        </w:fldSimple>
      </w:p>
    </w:sdtContent>
  </w:sdt>
  <w:p w:rsidR="008C41C0" w:rsidRDefault="008C4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C0" w:rsidRDefault="008C41C0" w:rsidP="00EF606A">
      <w:pPr>
        <w:spacing w:after="0" w:line="240" w:lineRule="auto"/>
      </w:pPr>
      <w:r>
        <w:separator/>
      </w:r>
    </w:p>
  </w:footnote>
  <w:footnote w:type="continuationSeparator" w:id="0">
    <w:p w:rsidR="008C41C0" w:rsidRDefault="008C41C0" w:rsidP="00EF606A">
      <w:pPr>
        <w:spacing w:after="0" w:line="240" w:lineRule="auto"/>
      </w:pPr>
      <w:r>
        <w:continuationSeparator/>
      </w:r>
    </w:p>
  </w:footnote>
  <w:footnote w:id="1">
    <w:p w:rsidR="008C41C0" w:rsidRPr="00D74F9E" w:rsidRDefault="008C41C0" w:rsidP="00D74F9E">
      <w:pPr>
        <w:pStyle w:val="NoSpacing"/>
        <w:jc w:val="both"/>
        <w:rPr>
          <w:sz w:val="18"/>
          <w:szCs w:val="18"/>
        </w:rPr>
      </w:pPr>
      <w:r w:rsidRPr="00D74F9E">
        <w:rPr>
          <w:rStyle w:val="FootnoteReference"/>
          <w:sz w:val="18"/>
          <w:szCs w:val="18"/>
        </w:rPr>
        <w:footnoteRef/>
      </w:r>
      <w:r w:rsidRPr="00D74F9E">
        <w:rPr>
          <w:sz w:val="18"/>
          <w:szCs w:val="18"/>
        </w:rPr>
        <w:t xml:space="preserve"> </w:t>
      </w:r>
      <w:hyperlink r:id="rId1" w:history="1">
        <w:r w:rsidRPr="006A2E4C">
          <w:rPr>
            <w:rStyle w:val="Hyperlink"/>
            <w:sz w:val="18"/>
            <w:szCs w:val="18"/>
          </w:rPr>
          <w:t>www.dur.ac.uk/law/staff/stafflist/?id=8695</w:t>
        </w:r>
      </w:hyperlink>
    </w:p>
  </w:footnote>
  <w:footnote w:id="2">
    <w:p w:rsidR="008C41C0" w:rsidRPr="00D74F9E" w:rsidRDefault="008C41C0" w:rsidP="00D74F9E">
      <w:pPr>
        <w:pStyle w:val="NoSpacing"/>
        <w:jc w:val="both"/>
        <w:rPr>
          <w:sz w:val="18"/>
          <w:szCs w:val="18"/>
          <w:lang w:val="en-US"/>
        </w:rPr>
      </w:pPr>
      <w:r w:rsidRPr="00D74F9E">
        <w:rPr>
          <w:rStyle w:val="FootnoteReference"/>
          <w:sz w:val="18"/>
          <w:szCs w:val="18"/>
        </w:rPr>
        <w:footnoteRef/>
      </w:r>
      <w:hyperlink r:id="rId2" w:history="1">
        <w:r w:rsidRPr="006A2E4C">
          <w:rPr>
            <w:rStyle w:val="Hyperlink"/>
            <w:sz w:val="18"/>
            <w:szCs w:val="18"/>
          </w:rPr>
          <w:t>www.hsph.harvard.edu/faculty/alicia-yamin/profile/</w:t>
        </w:r>
      </w:hyperlink>
    </w:p>
  </w:footnote>
  <w:footnote w:id="3">
    <w:p w:rsidR="008C41C0" w:rsidRPr="00D74F9E" w:rsidRDefault="008C41C0" w:rsidP="00D74F9E">
      <w:pPr>
        <w:pStyle w:val="NoSpacing"/>
        <w:jc w:val="both"/>
        <w:rPr>
          <w:sz w:val="18"/>
          <w:szCs w:val="18"/>
        </w:rPr>
      </w:pPr>
      <w:r w:rsidRPr="00D74F9E">
        <w:rPr>
          <w:rStyle w:val="FootnoteReference"/>
          <w:sz w:val="18"/>
          <w:szCs w:val="18"/>
        </w:rPr>
        <w:footnoteRef/>
      </w:r>
      <w:r w:rsidRPr="00D74F9E">
        <w:rPr>
          <w:sz w:val="18"/>
          <w:szCs w:val="18"/>
        </w:rPr>
        <w:t xml:space="preserve"> </w:t>
      </w:r>
      <w:hyperlink r:id="rId3" w:history="1">
        <w:r w:rsidRPr="006A2E4C">
          <w:rPr>
            <w:rStyle w:val="Hyperlink"/>
            <w:sz w:val="18"/>
            <w:szCs w:val="18"/>
          </w:rPr>
          <w:t>http://bmeier.web.unc.edu/</w:t>
        </w:r>
      </w:hyperlink>
    </w:p>
  </w:footnote>
  <w:footnote w:id="4">
    <w:p w:rsidR="008C41C0" w:rsidRPr="00D74F9E" w:rsidRDefault="008C41C0" w:rsidP="00D74F9E">
      <w:pPr>
        <w:pStyle w:val="NoSpacing"/>
        <w:jc w:val="both"/>
        <w:rPr>
          <w:sz w:val="18"/>
          <w:szCs w:val="18"/>
          <w:lang w:val="en-US"/>
        </w:rPr>
      </w:pPr>
      <w:r w:rsidRPr="00D74F9E">
        <w:rPr>
          <w:rStyle w:val="FootnoteReference"/>
          <w:sz w:val="18"/>
          <w:szCs w:val="18"/>
        </w:rPr>
        <w:footnoteRef/>
      </w:r>
      <w:r w:rsidRPr="00D74F9E">
        <w:rPr>
          <w:sz w:val="18"/>
          <w:szCs w:val="18"/>
        </w:rPr>
        <w:t xml:space="preserve"> See, e.g., ComRC General Comment No.3 on HIV/AIDS and the rights of the child (2003); ComRC General Comment No.4 on Adolescent health and development in the context of the Convention on the Rights of the Child (2003); ComRC General Comment No.7 on Implementing child rights in early childhood (2005), para</w:t>
      </w:r>
      <w:r w:rsidR="00DD5B92">
        <w:rPr>
          <w:sz w:val="18"/>
          <w:szCs w:val="18"/>
        </w:rPr>
        <w:t>graph</w:t>
      </w:r>
      <w:r w:rsidRPr="00D74F9E">
        <w:rPr>
          <w:sz w:val="18"/>
          <w:szCs w:val="18"/>
        </w:rPr>
        <w:t xml:space="preserve"> 27.</w:t>
      </w:r>
      <w:r w:rsidRPr="00D74F9E">
        <w:rPr>
          <w:sz w:val="18"/>
          <w:szCs w:val="18"/>
          <w:vertAlign w:val="superscript"/>
        </w:rPr>
        <w:t xml:space="preserve"> </w:t>
      </w:r>
      <w:r w:rsidRPr="00D74F9E">
        <w:rPr>
          <w:sz w:val="18"/>
          <w:szCs w:val="18"/>
        </w:rPr>
        <w:t xml:space="preserve">For a discussion of these statements, see W. Eide &amp; A. Eide, </w:t>
      </w:r>
      <w:r w:rsidRPr="00D74F9E">
        <w:rPr>
          <w:i/>
          <w:sz w:val="18"/>
          <w:szCs w:val="18"/>
        </w:rPr>
        <w:t xml:space="preserve">The Right to Health: Article 24 </w:t>
      </w:r>
      <w:r w:rsidRPr="00D74F9E">
        <w:rPr>
          <w:sz w:val="18"/>
          <w:szCs w:val="18"/>
        </w:rPr>
        <w:t xml:space="preserve">(Antwerp: Intersentia, 2006); </w:t>
      </w:r>
      <w:r w:rsidR="00822862">
        <w:rPr>
          <w:sz w:val="18"/>
          <w:szCs w:val="18"/>
        </w:rPr>
        <w:t xml:space="preserve">and </w:t>
      </w:r>
      <w:r w:rsidRPr="00D74F9E">
        <w:rPr>
          <w:sz w:val="18"/>
          <w:szCs w:val="18"/>
        </w:rPr>
        <w:t xml:space="preserve">A. Nolan, </w:t>
      </w:r>
      <w:r w:rsidRPr="00D74F9E">
        <w:rPr>
          <w:bCs/>
          <w:color w:val="000000"/>
          <w:sz w:val="18"/>
          <w:szCs w:val="18"/>
        </w:rPr>
        <w:t xml:space="preserve">‘The Child’s Right to Health and the Courts’ in J. Harrington &amp; M. </w:t>
      </w:r>
      <w:r w:rsidRPr="00D74F9E">
        <w:rPr>
          <w:color w:val="000000"/>
          <w:sz w:val="18"/>
          <w:szCs w:val="18"/>
        </w:rPr>
        <w:t xml:space="preserve">Stuttaford (eds), </w:t>
      </w:r>
      <w:r w:rsidRPr="00D74F9E">
        <w:rPr>
          <w:i/>
          <w:iCs/>
          <w:color w:val="000000"/>
          <w:sz w:val="18"/>
          <w:szCs w:val="18"/>
        </w:rPr>
        <w:t>Global Health and Human Rights: Legal and Philosophical Perspectives</w:t>
      </w:r>
      <w:r w:rsidRPr="00D74F9E">
        <w:rPr>
          <w:color w:val="000000"/>
          <w:sz w:val="18"/>
          <w:szCs w:val="18"/>
        </w:rPr>
        <w:t xml:space="preserve"> (London: Routledge, 2010) 135</w:t>
      </w:r>
      <w:r w:rsidRPr="00D74F9E">
        <w:rPr>
          <w:sz w:val="18"/>
          <w:szCs w:val="18"/>
          <w:lang w:val="en-US"/>
        </w:rPr>
        <w:t>.</w:t>
      </w:r>
    </w:p>
  </w:footnote>
  <w:footnote w:id="5">
    <w:p w:rsidR="008C41C0" w:rsidRPr="00D74F9E" w:rsidRDefault="008C41C0" w:rsidP="00D74F9E">
      <w:pPr>
        <w:pStyle w:val="NoSpacing"/>
        <w:jc w:val="both"/>
        <w:rPr>
          <w:sz w:val="18"/>
          <w:szCs w:val="18"/>
          <w:lang w:val="en-US"/>
        </w:rPr>
      </w:pPr>
      <w:r w:rsidRPr="00D74F9E">
        <w:rPr>
          <w:rStyle w:val="FootnoteReference"/>
          <w:sz w:val="18"/>
          <w:szCs w:val="18"/>
        </w:rPr>
        <w:footnoteRef/>
      </w:r>
      <w:r w:rsidRPr="00D74F9E">
        <w:rPr>
          <w:sz w:val="18"/>
          <w:szCs w:val="18"/>
        </w:rPr>
        <w:t xml:space="preserve"> </w:t>
      </w:r>
      <w:r w:rsidRPr="00D74F9E">
        <w:rPr>
          <w:rFonts w:cstheme="minorHAnsi"/>
          <w:sz w:val="18"/>
          <w:szCs w:val="18"/>
        </w:rPr>
        <w:t xml:space="preserve">It appears from the language of the ‘Scope and Outline’ document that the Committee is moving towards the employment of the language of ‘child and adolescent’ (as opposed to ‘child’) in its work. The authors recognise the very different levels of development, needs and positions of younger and older children. This is clearly recognised in provisions of the Convention such as Article 5. We are concerned, however, that the subdivision of ‘children’ into categories that are not explicitly delineated or defined (or indeed mentioned) in the text of the Convention is potentially counterproductive. We are conscious that national health programmes and child protection measures frequently focus on younger children to a much greater degree than older or teenaged children and </w:t>
      </w:r>
      <w:r w:rsidR="00F17DE4">
        <w:rPr>
          <w:rFonts w:cstheme="minorHAnsi"/>
          <w:sz w:val="18"/>
          <w:szCs w:val="18"/>
        </w:rPr>
        <w:t xml:space="preserve">that </w:t>
      </w:r>
      <w:r w:rsidRPr="00D74F9E">
        <w:rPr>
          <w:rFonts w:cstheme="minorHAnsi"/>
          <w:sz w:val="18"/>
          <w:szCs w:val="18"/>
        </w:rPr>
        <w:t xml:space="preserve">there is a need to ensure that the health-related rights of </w:t>
      </w:r>
      <w:r w:rsidRPr="00D74F9E">
        <w:rPr>
          <w:rFonts w:cstheme="minorHAnsi"/>
          <w:i/>
          <w:sz w:val="18"/>
          <w:szCs w:val="18"/>
        </w:rPr>
        <w:t xml:space="preserve">all </w:t>
      </w:r>
      <w:r w:rsidRPr="00D74F9E">
        <w:rPr>
          <w:rFonts w:cstheme="minorHAnsi"/>
          <w:sz w:val="18"/>
          <w:szCs w:val="18"/>
        </w:rPr>
        <w:t>children are given effect to by States Parties. Rather than entrenching adolescence as a sub-category of childhood to be dealt with separately in statements such as General Comments, it would be better for the Committee to emphasise the need to give effect to the different needs of all groups of children (whether age-based or otherwise). As the groups to be emphasised will vary depending on the right and the context at issue, the Committee would be most helpful in providing guidance on how this disaggregation of children should be done in relation to specific groups in particular contexts</w:t>
      </w:r>
      <w:r w:rsidR="00F17DE4">
        <w:rPr>
          <w:rFonts w:cstheme="minorHAnsi"/>
          <w:sz w:val="18"/>
          <w:szCs w:val="18"/>
        </w:rPr>
        <w:t>,</w:t>
      </w:r>
      <w:r w:rsidRPr="00D74F9E">
        <w:rPr>
          <w:rFonts w:cstheme="minorHAnsi"/>
          <w:sz w:val="18"/>
          <w:szCs w:val="18"/>
        </w:rPr>
        <w:t xml:space="preserve"> as it has done, for instance, its General Comment Nos 4 and 7.  </w:t>
      </w:r>
    </w:p>
  </w:footnote>
  <w:footnote w:id="6">
    <w:p w:rsidR="008C41C0" w:rsidRPr="00D74F9E" w:rsidRDefault="008C41C0" w:rsidP="00D74F9E">
      <w:pPr>
        <w:pStyle w:val="NoSpacing"/>
        <w:jc w:val="both"/>
        <w:rPr>
          <w:sz w:val="18"/>
          <w:szCs w:val="18"/>
        </w:rPr>
      </w:pPr>
      <w:r w:rsidRPr="00D74F9E">
        <w:rPr>
          <w:rStyle w:val="FootnoteReference"/>
          <w:sz w:val="18"/>
          <w:szCs w:val="18"/>
        </w:rPr>
        <w:footnoteRef/>
      </w:r>
      <w:r w:rsidRPr="00D74F9E">
        <w:rPr>
          <w:sz w:val="18"/>
          <w:szCs w:val="18"/>
        </w:rPr>
        <w:t xml:space="preserve"> See, e.g., ComRC General Comment No.5 on General measures of implementation of the Convention on the Rights of the Child (arts. 4, 42 and 44, para. 6) (2003), paragraph 6; ComRC Recommendations from Day of General Discussion on Resources (2007).</w:t>
      </w:r>
    </w:p>
  </w:footnote>
  <w:footnote w:id="7">
    <w:p w:rsidR="008C41C0" w:rsidRPr="00D74F9E" w:rsidRDefault="008C41C0" w:rsidP="00D74F9E">
      <w:pPr>
        <w:pStyle w:val="FootnoteText"/>
        <w:jc w:val="both"/>
        <w:rPr>
          <w:sz w:val="18"/>
          <w:szCs w:val="18"/>
        </w:rPr>
      </w:pPr>
      <w:r w:rsidRPr="00D74F9E">
        <w:rPr>
          <w:rStyle w:val="FootnoteReference"/>
          <w:sz w:val="18"/>
          <w:szCs w:val="18"/>
        </w:rPr>
        <w:footnoteRef/>
      </w:r>
      <w:r w:rsidRPr="00D74F9E">
        <w:rPr>
          <w:sz w:val="18"/>
          <w:szCs w:val="18"/>
        </w:rPr>
        <w:t xml:space="preserve"> For a discussion of some these contested issues, including debates around the meaning of ‘the minimum core’ and ‘retrogressive measures’, see QUB Budget Analysis Project, </w:t>
      </w:r>
      <w:r w:rsidRPr="00D74F9E">
        <w:rPr>
          <w:i/>
          <w:sz w:val="18"/>
          <w:szCs w:val="18"/>
        </w:rPr>
        <w:t xml:space="preserve">Budgeting for Economic and Social Rights: A Human Rights Framework </w:t>
      </w:r>
      <w:r w:rsidRPr="00D74F9E">
        <w:rPr>
          <w:sz w:val="18"/>
          <w:szCs w:val="18"/>
        </w:rPr>
        <w:t>(Belfast: QUB, 2010).</w:t>
      </w:r>
    </w:p>
  </w:footnote>
  <w:footnote w:id="8">
    <w:p w:rsidR="008C41C0" w:rsidRPr="00D74F9E" w:rsidRDefault="008C41C0" w:rsidP="00D74F9E">
      <w:pPr>
        <w:pStyle w:val="NoSpacing"/>
        <w:jc w:val="both"/>
        <w:rPr>
          <w:sz w:val="18"/>
          <w:szCs w:val="18"/>
          <w:lang w:val="en-US"/>
        </w:rPr>
      </w:pPr>
      <w:r w:rsidRPr="00D74F9E">
        <w:rPr>
          <w:rStyle w:val="FootnoteReference"/>
          <w:sz w:val="18"/>
          <w:szCs w:val="18"/>
        </w:rPr>
        <w:footnoteRef/>
      </w:r>
      <w:r w:rsidRPr="00D74F9E">
        <w:rPr>
          <w:sz w:val="18"/>
          <w:szCs w:val="18"/>
        </w:rPr>
        <w:t xml:space="preserve"> See Colombian Constitutional Court, </w:t>
      </w:r>
      <w:r w:rsidRPr="00D74F9E">
        <w:rPr>
          <w:sz w:val="18"/>
          <w:szCs w:val="18"/>
          <w:lang w:val="en-US"/>
        </w:rPr>
        <w:t>T 760/08. Magistrado Ponente: Manuel Jose Cepeda [differentiating between immediate obligation to unify children’s health schemes and progressive obligation to unify that of adults].</w:t>
      </w:r>
    </w:p>
  </w:footnote>
  <w:footnote w:id="9">
    <w:p w:rsidR="008C41C0" w:rsidRPr="00D74F9E" w:rsidRDefault="008C41C0" w:rsidP="00D74F9E">
      <w:pPr>
        <w:pStyle w:val="NoSpacing"/>
        <w:jc w:val="both"/>
        <w:rPr>
          <w:sz w:val="18"/>
          <w:szCs w:val="18"/>
        </w:rPr>
      </w:pPr>
      <w:r w:rsidRPr="00D74F9E">
        <w:rPr>
          <w:rStyle w:val="FootnoteReference"/>
          <w:sz w:val="18"/>
          <w:szCs w:val="18"/>
        </w:rPr>
        <w:footnoteRef/>
      </w:r>
      <w:r w:rsidRPr="00D74F9E">
        <w:rPr>
          <w:sz w:val="18"/>
          <w:szCs w:val="18"/>
        </w:rPr>
        <w:t xml:space="preserve"> ComESCR General Comment No.3 on The Nature of States Parties' Obligations (Art. 2, Para. 1, of the Covenant) (1990).</w:t>
      </w:r>
    </w:p>
    <w:p w:rsidR="008C41C0" w:rsidRPr="00D74F9E" w:rsidRDefault="008C41C0" w:rsidP="00D74F9E">
      <w:pPr>
        <w:pStyle w:val="FootnoteText"/>
        <w:jc w:val="both"/>
        <w:rPr>
          <w:sz w:val="18"/>
          <w:szCs w:val="18"/>
        </w:rPr>
      </w:pPr>
    </w:p>
  </w:footnote>
  <w:footnote w:id="10">
    <w:p w:rsidR="008C41C0" w:rsidRPr="00D74F9E" w:rsidRDefault="008C41C0" w:rsidP="00D74F9E">
      <w:pPr>
        <w:pStyle w:val="NoSpacing"/>
        <w:jc w:val="both"/>
        <w:rPr>
          <w:sz w:val="18"/>
          <w:szCs w:val="18"/>
          <w:lang w:val="en-US"/>
        </w:rPr>
      </w:pPr>
      <w:r w:rsidRPr="00D74F9E">
        <w:rPr>
          <w:rStyle w:val="FootnoteReference"/>
          <w:sz w:val="18"/>
          <w:szCs w:val="18"/>
        </w:rPr>
        <w:footnoteRef/>
      </w:r>
      <w:r w:rsidRPr="00D74F9E">
        <w:rPr>
          <w:sz w:val="18"/>
          <w:szCs w:val="18"/>
        </w:rPr>
        <w:t xml:space="preserve"> See</w:t>
      </w:r>
      <w:r w:rsidR="003F101D">
        <w:rPr>
          <w:sz w:val="18"/>
          <w:szCs w:val="18"/>
        </w:rPr>
        <w:t>, e.g.,</w:t>
      </w:r>
      <w:r w:rsidRPr="00D74F9E">
        <w:rPr>
          <w:sz w:val="18"/>
          <w:szCs w:val="18"/>
        </w:rPr>
        <w:t xml:space="preserve"> A. Nolan, ‘</w:t>
      </w:r>
      <w:r w:rsidRPr="00D74F9E">
        <w:rPr>
          <w:rFonts w:cs="Arial"/>
          <w:sz w:val="18"/>
          <w:szCs w:val="18"/>
          <w:lang w:val="en-US"/>
        </w:rPr>
        <w:t xml:space="preserve">‘The Committee’s Approach to ESR under the CRC: An Obstacle to Monitoring Efforts?’ (2012) </w:t>
      </w:r>
      <w:r w:rsidRPr="00D74F9E">
        <w:rPr>
          <w:rFonts w:cs="Arial"/>
          <w:i/>
          <w:sz w:val="18"/>
          <w:szCs w:val="18"/>
          <w:lang w:val="en-US"/>
        </w:rPr>
        <w:t xml:space="preserve">International Journal of Children’s Rights </w:t>
      </w:r>
      <w:r w:rsidRPr="00D74F9E">
        <w:rPr>
          <w:rFonts w:cs="Arial"/>
          <w:sz w:val="18"/>
          <w:szCs w:val="18"/>
          <w:lang w:val="en-US"/>
        </w:rPr>
        <w:t>(forthcoming).</w:t>
      </w:r>
      <w:r w:rsidRPr="00D74F9E">
        <w:rPr>
          <w:sz w:val="18"/>
          <w:szCs w:val="18"/>
        </w:rPr>
        <w:t xml:space="preserve"> </w:t>
      </w:r>
      <w:r w:rsidRPr="00D74F9E">
        <w:rPr>
          <w:sz w:val="18"/>
          <w:szCs w:val="18"/>
          <w:lang w:val="en-US"/>
        </w:rPr>
        <w:t>For example, the Committee’s concept of deliberately retrogressive measures should specify a range of actions (such as the adoption of increasingly restrictive abortion laws which place adolescent girls’ lives and health at risk, as well as the inequitable allocation of resources, goods and services in ways that widen health disparities between population groups) that apply particularly in relation to children and adolescents.</w:t>
      </w:r>
    </w:p>
  </w:footnote>
  <w:footnote w:id="11">
    <w:p w:rsidR="008C41C0" w:rsidRPr="00D74F9E" w:rsidRDefault="008C41C0" w:rsidP="00D74F9E">
      <w:pPr>
        <w:pStyle w:val="NoSpacing"/>
        <w:jc w:val="both"/>
        <w:rPr>
          <w:sz w:val="18"/>
          <w:szCs w:val="18"/>
          <w:lang w:val="en-US"/>
        </w:rPr>
      </w:pPr>
      <w:r w:rsidRPr="00D74F9E">
        <w:rPr>
          <w:rStyle w:val="FootnoteReference"/>
          <w:sz w:val="18"/>
          <w:szCs w:val="18"/>
        </w:rPr>
        <w:footnoteRef/>
      </w:r>
      <w:r w:rsidRPr="00D74F9E">
        <w:rPr>
          <w:sz w:val="18"/>
          <w:szCs w:val="18"/>
        </w:rPr>
        <w:t xml:space="preserve"> </w:t>
      </w:r>
      <w:r w:rsidR="00DD5B92">
        <w:rPr>
          <w:sz w:val="18"/>
          <w:szCs w:val="18"/>
        </w:rPr>
        <w:t>Examples</w:t>
      </w:r>
      <w:r>
        <w:rPr>
          <w:sz w:val="18"/>
          <w:szCs w:val="18"/>
        </w:rPr>
        <w:t xml:space="preserve"> of non-state actors who fulfil the right to the highest attainable standard of health of children are doctors and private hospitals.</w:t>
      </w:r>
    </w:p>
  </w:footnote>
  <w:footnote w:id="12">
    <w:p w:rsidR="008C41C0" w:rsidRPr="00D74F9E" w:rsidRDefault="008C41C0" w:rsidP="00D74F9E">
      <w:pPr>
        <w:pStyle w:val="NoSpacing"/>
        <w:jc w:val="both"/>
        <w:rPr>
          <w:rFonts w:cs="Arial"/>
          <w:sz w:val="18"/>
          <w:szCs w:val="18"/>
        </w:rPr>
      </w:pPr>
      <w:r w:rsidRPr="00D74F9E">
        <w:rPr>
          <w:rStyle w:val="FootnoteReference"/>
          <w:rFonts w:cstheme="minorHAnsi"/>
          <w:sz w:val="18"/>
          <w:szCs w:val="18"/>
        </w:rPr>
        <w:footnoteRef/>
      </w:r>
      <w:r w:rsidRPr="00D74F9E">
        <w:rPr>
          <w:rFonts w:cstheme="minorHAnsi"/>
          <w:sz w:val="18"/>
          <w:szCs w:val="18"/>
        </w:rPr>
        <w:t xml:space="preserve"> ComESCR General Comment No. 14 on T</w:t>
      </w:r>
      <w:r w:rsidRPr="00D74F9E">
        <w:rPr>
          <w:sz w:val="18"/>
          <w:szCs w:val="18"/>
        </w:rPr>
        <w:t>he right to the highest attainable standard of health (art. 12) (2000)</w:t>
      </w:r>
      <w:r w:rsidRPr="00D74F9E">
        <w:rPr>
          <w:rFonts w:cstheme="minorHAnsi"/>
          <w:sz w:val="18"/>
          <w:szCs w:val="18"/>
        </w:rPr>
        <w:t>.</w:t>
      </w:r>
    </w:p>
  </w:footnote>
  <w:footnote w:id="13">
    <w:p w:rsidR="008C41C0" w:rsidRPr="00D74F9E" w:rsidRDefault="008C41C0" w:rsidP="00D74F9E">
      <w:pPr>
        <w:pStyle w:val="NoSpacing"/>
        <w:jc w:val="both"/>
        <w:rPr>
          <w:rFonts w:cstheme="minorHAnsi"/>
          <w:sz w:val="18"/>
          <w:szCs w:val="18"/>
        </w:rPr>
      </w:pPr>
      <w:r w:rsidRPr="00D74F9E">
        <w:rPr>
          <w:rStyle w:val="FootnoteReference"/>
          <w:rFonts w:cstheme="minorHAnsi"/>
          <w:sz w:val="18"/>
          <w:szCs w:val="18"/>
        </w:rPr>
        <w:footnoteRef/>
      </w:r>
      <w:r w:rsidRPr="00D74F9E">
        <w:rPr>
          <w:rFonts w:cstheme="minorHAnsi"/>
          <w:sz w:val="18"/>
          <w:szCs w:val="18"/>
        </w:rPr>
        <w:t xml:space="preserve"> P</w:t>
      </w:r>
      <w:r>
        <w:rPr>
          <w:rFonts w:cstheme="minorHAnsi"/>
          <w:sz w:val="18"/>
          <w:szCs w:val="18"/>
        </w:rPr>
        <w:t>. H</w:t>
      </w:r>
      <w:r w:rsidRPr="00D74F9E">
        <w:rPr>
          <w:rFonts w:cstheme="minorHAnsi"/>
          <w:sz w:val="18"/>
          <w:szCs w:val="18"/>
        </w:rPr>
        <w:t xml:space="preserve">unt </w:t>
      </w:r>
      <w:r>
        <w:rPr>
          <w:rFonts w:cstheme="minorHAnsi"/>
          <w:sz w:val="18"/>
          <w:szCs w:val="18"/>
        </w:rPr>
        <w:t>&amp;</w:t>
      </w:r>
      <w:r w:rsidRPr="00D74F9E">
        <w:rPr>
          <w:rFonts w:cstheme="minorHAnsi"/>
          <w:sz w:val="18"/>
          <w:szCs w:val="18"/>
        </w:rPr>
        <w:t xml:space="preserve"> G</w:t>
      </w:r>
      <w:r>
        <w:rPr>
          <w:rFonts w:cstheme="minorHAnsi"/>
          <w:sz w:val="18"/>
          <w:szCs w:val="18"/>
        </w:rPr>
        <w:t>.</w:t>
      </w:r>
      <w:r w:rsidRPr="00D74F9E">
        <w:rPr>
          <w:rFonts w:cstheme="minorHAnsi"/>
          <w:sz w:val="18"/>
          <w:szCs w:val="18"/>
        </w:rPr>
        <w:t xml:space="preserve"> Backman, </w:t>
      </w:r>
      <w:r>
        <w:rPr>
          <w:rFonts w:cstheme="minorHAnsi"/>
          <w:sz w:val="18"/>
          <w:szCs w:val="18"/>
        </w:rPr>
        <w:t>‘</w:t>
      </w:r>
      <w:r w:rsidRPr="00D74F9E">
        <w:rPr>
          <w:rFonts w:cstheme="minorHAnsi"/>
          <w:sz w:val="18"/>
          <w:szCs w:val="18"/>
        </w:rPr>
        <w:t>Health systems and the right to the highest attainable standard of health</w:t>
      </w:r>
      <w:r>
        <w:rPr>
          <w:rFonts w:cstheme="minorHAnsi"/>
          <w:sz w:val="18"/>
          <w:szCs w:val="18"/>
        </w:rPr>
        <w:t>’</w:t>
      </w:r>
      <w:r w:rsidRPr="00D74F9E">
        <w:rPr>
          <w:rFonts w:cstheme="minorHAnsi"/>
          <w:sz w:val="18"/>
          <w:szCs w:val="18"/>
        </w:rPr>
        <w:t xml:space="preserve"> </w:t>
      </w:r>
      <w:r>
        <w:rPr>
          <w:rFonts w:cstheme="minorHAnsi"/>
          <w:sz w:val="18"/>
          <w:szCs w:val="18"/>
        </w:rPr>
        <w:t xml:space="preserve">(2008) </w:t>
      </w:r>
      <w:r w:rsidRPr="00D74F9E">
        <w:rPr>
          <w:rFonts w:cstheme="minorHAnsi"/>
          <w:i/>
          <w:sz w:val="18"/>
          <w:szCs w:val="18"/>
        </w:rPr>
        <w:t xml:space="preserve">Health and Human Rights </w:t>
      </w:r>
      <w:r w:rsidRPr="00D74F9E">
        <w:rPr>
          <w:rFonts w:cstheme="minorHAnsi"/>
          <w:sz w:val="18"/>
          <w:szCs w:val="18"/>
        </w:rPr>
        <w:t xml:space="preserve">10; </w:t>
      </w:r>
      <w:r w:rsidR="00FB46A2">
        <w:rPr>
          <w:rFonts w:cstheme="minorHAnsi"/>
          <w:sz w:val="18"/>
          <w:szCs w:val="18"/>
        </w:rPr>
        <w:t xml:space="preserve">and </w:t>
      </w:r>
      <w:r w:rsidRPr="00D74F9E">
        <w:rPr>
          <w:rFonts w:cstheme="minorHAnsi"/>
          <w:sz w:val="18"/>
          <w:szCs w:val="18"/>
        </w:rPr>
        <w:t>Report of the Special Rapporteur on the right of everyone to the enjoyment of the highest attainable standard of physical and mental health</w:t>
      </w:r>
      <w:r>
        <w:rPr>
          <w:rFonts w:cstheme="minorHAnsi"/>
          <w:sz w:val="18"/>
          <w:szCs w:val="18"/>
        </w:rPr>
        <w:t>, UN Doc.</w:t>
      </w:r>
      <w:r w:rsidRPr="00D74F9E">
        <w:rPr>
          <w:rFonts w:cstheme="minorHAnsi"/>
          <w:sz w:val="18"/>
          <w:szCs w:val="18"/>
        </w:rPr>
        <w:t xml:space="preserve"> A/HRC/7/11, 31 January 2008.</w:t>
      </w:r>
    </w:p>
  </w:footnote>
  <w:footnote w:id="14">
    <w:p w:rsidR="008C41C0" w:rsidRPr="00D74F9E" w:rsidRDefault="008C41C0" w:rsidP="00D74F9E">
      <w:pPr>
        <w:pStyle w:val="NoSpacing"/>
        <w:jc w:val="both"/>
        <w:rPr>
          <w:rFonts w:cstheme="minorHAnsi"/>
          <w:sz w:val="18"/>
          <w:szCs w:val="18"/>
        </w:rPr>
      </w:pPr>
      <w:r w:rsidRPr="00D74F9E">
        <w:rPr>
          <w:rStyle w:val="FootnoteReference"/>
          <w:rFonts w:cstheme="minorHAnsi"/>
          <w:sz w:val="18"/>
          <w:szCs w:val="18"/>
        </w:rPr>
        <w:footnoteRef/>
      </w:r>
      <w:r w:rsidRPr="00D74F9E">
        <w:rPr>
          <w:rFonts w:cstheme="minorHAnsi"/>
          <w:sz w:val="18"/>
          <w:szCs w:val="18"/>
        </w:rPr>
        <w:t xml:space="preserve"> L. Freedman, ‘Achieving the MDGs: Health Systems as Core Social Institutions’, </w:t>
      </w:r>
      <w:r w:rsidRPr="00D74F9E">
        <w:rPr>
          <w:rFonts w:cstheme="minorHAnsi"/>
          <w:i/>
          <w:iCs/>
          <w:sz w:val="18"/>
          <w:szCs w:val="18"/>
        </w:rPr>
        <w:t>Development</w:t>
      </w:r>
      <w:r w:rsidRPr="00D74F9E">
        <w:rPr>
          <w:rFonts w:cstheme="minorHAnsi"/>
          <w:iCs/>
          <w:sz w:val="18"/>
          <w:szCs w:val="18"/>
        </w:rPr>
        <w:t>, V</w:t>
      </w:r>
      <w:r w:rsidRPr="00D74F9E">
        <w:rPr>
          <w:rFonts w:cstheme="minorHAnsi"/>
          <w:i/>
          <w:iCs/>
          <w:sz w:val="18"/>
          <w:szCs w:val="18"/>
        </w:rPr>
        <w:t xml:space="preserve">. </w:t>
      </w:r>
      <w:r w:rsidRPr="00D74F9E">
        <w:rPr>
          <w:rFonts w:cstheme="minorHAnsi"/>
          <w:sz w:val="18"/>
          <w:szCs w:val="18"/>
        </w:rPr>
        <w:t>48, pp. 19-24 (2005).</w:t>
      </w:r>
    </w:p>
  </w:footnote>
  <w:footnote w:id="15">
    <w:p w:rsidR="008C41C0" w:rsidRPr="00D74F9E" w:rsidRDefault="008C41C0" w:rsidP="00D74F9E">
      <w:pPr>
        <w:pStyle w:val="NoSpacing"/>
        <w:jc w:val="both"/>
        <w:rPr>
          <w:rFonts w:cstheme="minorHAnsi"/>
          <w:sz w:val="18"/>
          <w:szCs w:val="18"/>
        </w:rPr>
      </w:pPr>
      <w:r w:rsidRPr="00D74F9E">
        <w:rPr>
          <w:rStyle w:val="FootnoteReference"/>
          <w:rFonts w:cstheme="minorHAnsi"/>
          <w:sz w:val="18"/>
          <w:szCs w:val="18"/>
        </w:rPr>
        <w:footnoteRef/>
      </w:r>
      <w:r w:rsidRPr="00D74F9E">
        <w:rPr>
          <w:rFonts w:cstheme="minorHAnsi"/>
          <w:sz w:val="18"/>
          <w:szCs w:val="18"/>
        </w:rPr>
        <w:t xml:space="preserve"> WHO, </w:t>
      </w:r>
      <w:r w:rsidRPr="00D74F9E">
        <w:rPr>
          <w:rFonts w:cstheme="minorHAnsi"/>
          <w:i/>
          <w:sz w:val="18"/>
          <w:szCs w:val="18"/>
        </w:rPr>
        <w:t xml:space="preserve">Everybody’s Business: Strengthening Health Systems to Improve Health Outcomes – WHO’s Framework for Action </w:t>
      </w:r>
      <w:r w:rsidRPr="00D74F9E">
        <w:rPr>
          <w:rFonts w:cstheme="minorHAnsi"/>
          <w:sz w:val="18"/>
          <w:szCs w:val="18"/>
        </w:rPr>
        <w:t xml:space="preserve">(Geneva: WHO, 2007). </w:t>
      </w:r>
    </w:p>
  </w:footnote>
  <w:footnote w:id="16">
    <w:p w:rsidR="008C41C0" w:rsidRDefault="008C41C0">
      <w:pPr>
        <w:pStyle w:val="FootnoteText"/>
      </w:pPr>
      <w:r>
        <w:rPr>
          <w:rStyle w:val="FootnoteReference"/>
        </w:rPr>
        <w:footnoteRef/>
      </w:r>
      <w:r>
        <w:t xml:space="preserve"> Commission on Social determinants of Health. </w:t>
      </w:r>
      <w:r w:rsidRPr="008C41C0">
        <w:rPr>
          <w:i/>
        </w:rPr>
        <w:t xml:space="preserve">Closing the </w:t>
      </w:r>
      <w:r>
        <w:rPr>
          <w:i/>
        </w:rPr>
        <w:t>G</w:t>
      </w:r>
      <w:r w:rsidRPr="008C41C0">
        <w:rPr>
          <w:i/>
        </w:rPr>
        <w:t xml:space="preserve">ap in a </w:t>
      </w:r>
      <w:r>
        <w:rPr>
          <w:i/>
        </w:rPr>
        <w:t>G</w:t>
      </w:r>
      <w:r w:rsidRPr="008C41C0">
        <w:rPr>
          <w:i/>
        </w:rPr>
        <w:t xml:space="preserve">eneration: Health </w:t>
      </w:r>
      <w:r>
        <w:rPr>
          <w:i/>
        </w:rPr>
        <w:t>E</w:t>
      </w:r>
      <w:r w:rsidRPr="008C41C0">
        <w:rPr>
          <w:i/>
        </w:rPr>
        <w:t xml:space="preserve">quity through </w:t>
      </w:r>
      <w:r>
        <w:rPr>
          <w:i/>
        </w:rPr>
        <w:t>A</w:t>
      </w:r>
      <w:r w:rsidRPr="008C41C0">
        <w:rPr>
          <w:i/>
        </w:rPr>
        <w:t xml:space="preserve">ction on the </w:t>
      </w:r>
      <w:r>
        <w:rPr>
          <w:i/>
        </w:rPr>
        <w:t>S</w:t>
      </w:r>
      <w:r w:rsidRPr="008C41C0">
        <w:rPr>
          <w:i/>
        </w:rPr>
        <w:t xml:space="preserve">ocial </w:t>
      </w:r>
      <w:r>
        <w:rPr>
          <w:i/>
        </w:rPr>
        <w:t>D</w:t>
      </w:r>
      <w:r w:rsidRPr="008C41C0">
        <w:rPr>
          <w:i/>
        </w:rPr>
        <w:t>eterminants of</w:t>
      </w:r>
      <w:r>
        <w:rPr>
          <w:i/>
        </w:rPr>
        <w:t xml:space="preserve"> H</w:t>
      </w:r>
      <w:r w:rsidRPr="008C41C0">
        <w:rPr>
          <w:i/>
        </w:rPr>
        <w:t>ealth.</w:t>
      </w:r>
      <w:r>
        <w:t xml:space="preserve"> (Geneva: WHO, 2008). http://www.who.int.social_determinants/final_report/eng.</w:t>
      </w:r>
    </w:p>
  </w:footnote>
  <w:footnote w:id="17">
    <w:p w:rsidR="008C41C0" w:rsidRPr="00D74F9E" w:rsidRDefault="008C41C0" w:rsidP="00D74F9E">
      <w:pPr>
        <w:pStyle w:val="NoSpacing"/>
        <w:jc w:val="both"/>
        <w:rPr>
          <w:rFonts w:cs="Arial"/>
          <w:sz w:val="18"/>
          <w:szCs w:val="18"/>
        </w:rPr>
      </w:pPr>
      <w:r w:rsidRPr="00D74F9E">
        <w:rPr>
          <w:rStyle w:val="FootnoteReference"/>
          <w:rFonts w:cstheme="minorHAnsi"/>
          <w:sz w:val="18"/>
          <w:szCs w:val="18"/>
        </w:rPr>
        <w:footnoteRef/>
      </w:r>
      <w:r w:rsidRPr="00D74F9E">
        <w:rPr>
          <w:rFonts w:cstheme="minorHAnsi"/>
          <w:sz w:val="18"/>
          <w:szCs w:val="18"/>
        </w:rPr>
        <w:t xml:space="preserve"> ComESCR General Comment No. 14</w:t>
      </w:r>
      <w:r w:rsidRPr="00D74F9E">
        <w:rPr>
          <w:sz w:val="18"/>
          <w:szCs w:val="18"/>
        </w:rPr>
        <w:t xml:space="preserve">, </w:t>
      </w:r>
      <w:r w:rsidRPr="00D74F9E">
        <w:rPr>
          <w:rFonts w:cstheme="minorHAnsi"/>
          <w:sz w:val="18"/>
          <w:szCs w:val="18"/>
        </w:rPr>
        <w:t>paragraph. 45 (including as underlying determinants of health: safe water and adequate sanitation, adequate nutritious food and housing, healthy occupational and environmental conditions, and access to health-related education and information).</w:t>
      </w:r>
    </w:p>
  </w:footnote>
  <w:footnote w:id="18">
    <w:p w:rsidR="008C41C0" w:rsidRPr="00D74F9E" w:rsidRDefault="008C41C0" w:rsidP="00D74F9E">
      <w:pPr>
        <w:pStyle w:val="NoSpacing"/>
        <w:jc w:val="both"/>
        <w:rPr>
          <w:rFonts w:cstheme="minorHAnsi"/>
          <w:sz w:val="18"/>
          <w:szCs w:val="18"/>
        </w:rPr>
      </w:pPr>
      <w:r w:rsidRPr="00D74F9E">
        <w:rPr>
          <w:rStyle w:val="FootnoteReference"/>
          <w:rFonts w:cstheme="minorHAnsi"/>
          <w:sz w:val="18"/>
          <w:szCs w:val="18"/>
        </w:rPr>
        <w:footnoteRef/>
      </w:r>
      <w:r w:rsidRPr="00D74F9E">
        <w:rPr>
          <w:rFonts w:cstheme="minorHAnsi"/>
          <w:sz w:val="18"/>
          <w:szCs w:val="18"/>
        </w:rPr>
        <w:t xml:space="preserve"> See UN Economic and Social Council, Report of the High Commissioner for Human Rights on the Implementation of Economic, Social and Cultural Rights (E/2009/90), 8 June 2009.</w:t>
      </w:r>
    </w:p>
  </w:footnote>
  <w:footnote w:id="19">
    <w:p w:rsidR="008C41C0" w:rsidRPr="00D74F9E" w:rsidRDefault="008C41C0" w:rsidP="00D74F9E">
      <w:pPr>
        <w:pStyle w:val="FootnoteText"/>
        <w:jc w:val="both"/>
        <w:rPr>
          <w:sz w:val="18"/>
          <w:szCs w:val="18"/>
        </w:rPr>
      </w:pPr>
      <w:r w:rsidRPr="00D74F9E">
        <w:rPr>
          <w:rStyle w:val="FootnoteReference"/>
          <w:sz w:val="18"/>
          <w:szCs w:val="18"/>
        </w:rPr>
        <w:footnoteRef/>
      </w:r>
      <w:r w:rsidRPr="00D74F9E">
        <w:rPr>
          <w:sz w:val="18"/>
          <w:szCs w:val="18"/>
        </w:rPr>
        <w:t xml:space="preserve"> For more, see Nolan above n</w:t>
      </w:r>
      <w:r>
        <w:rPr>
          <w:sz w:val="18"/>
          <w:szCs w:val="18"/>
        </w:rPr>
        <w:t>4</w:t>
      </w:r>
      <w:r w:rsidRPr="00D74F9E">
        <w:rPr>
          <w:sz w:val="18"/>
          <w:szCs w:val="18"/>
        </w:rPr>
        <w:t xml:space="preserve">; A. Nolan, </w:t>
      </w:r>
      <w:r w:rsidRPr="00D74F9E">
        <w:rPr>
          <w:i/>
          <w:sz w:val="18"/>
          <w:szCs w:val="18"/>
        </w:rPr>
        <w:t xml:space="preserve">Children’s Socio-Economic Rights &amp; the Courts </w:t>
      </w:r>
      <w:r w:rsidRPr="00D74F9E">
        <w:rPr>
          <w:sz w:val="18"/>
          <w:szCs w:val="18"/>
        </w:rPr>
        <w:t>(Oxford: Hart Publishing, 2011).</w:t>
      </w:r>
    </w:p>
  </w:footnote>
  <w:footnote w:id="20">
    <w:p w:rsidR="008C41C0" w:rsidRPr="00D74F9E" w:rsidRDefault="008C41C0" w:rsidP="00D74F9E">
      <w:pPr>
        <w:pStyle w:val="NoSpacing"/>
        <w:jc w:val="both"/>
        <w:rPr>
          <w:rFonts w:cstheme="minorHAnsi"/>
          <w:sz w:val="18"/>
          <w:szCs w:val="18"/>
        </w:rPr>
      </w:pPr>
      <w:r w:rsidRPr="00D74F9E">
        <w:rPr>
          <w:rStyle w:val="FootnoteReference"/>
          <w:rFonts w:cstheme="minorHAnsi"/>
          <w:sz w:val="18"/>
          <w:szCs w:val="18"/>
        </w:rPr>
        <w:footnoteRef/>
      </w:r>
      <w:r w:rsidRPr="00D74F9E">
        <w:rPr>
          <w:rFonts w:cstheme="minorHAnsi"/>
          <w:sz w:val="18"/>
          <w:szCs w:val="18"/>
        </w:rPr>
        <w:t xml:space="preserve"> See in particular paragraph 104: ‘States parties should also introduce measures enabling children to contribute their views and experiences to the planning and programming of services for their health and development. Their views should be sought on all aspects of health provision, including what services are needed, how and where they are best provided, discriminatory barriers to accessing services, quality and attitudes of health professionals, and how to promote children’s capacities to take increasing levels of responsibility for their own health and development...’</w:t>
      </w:r>
    </w:p>
  </w:footnote>
  <w:footnote w:id="21">
    <w:p w:rsidR="008C41C0" w:rsidRPr="00917DEB" w:rsidRDefault="008C41C0" w:rsidP="00D74F9E">
      <w:pPr>
        <w:pStyle w:val="NoSpacing"/>
        <w:jc w:val="both"/>
        <w:rPr>
          <w:sz w:val="18"/>
          <w:szCs w:val="18"/>
        </w:rPr>
      </w:pPr>
      <w:r w:rsidRPr="00D74F9E">
        <w:rPr>
          <w:rStyle w:val="FootnoteReference"/>
          <w:rFonts w:cstheme="minorHAnsi"/>
          <w:sz w:val="18"/>
          <w:szCs w:val="18"/>
        </w:rPr>
        <w:footnoteRef/>
      </w:r>
      <w:r w:rsidRPr="00D74F9E">
        <w:rPr>
          <w:rFonts w:cstheme="minorHAnsi"/>
          <w:sz w:val="18"/>
          <w:szCs w:val="18"/>
        </w:rPr>
        <w:t xml:space="preserve"> See paragraph 12: ‘</w:t>
      </w:r>
      <w:r w:rsidRPr="00D74F9E">
        <w:rPr>
          <w:rFonts w:eastAsia="Calibri" w:cstheme="minorHAnsi"/>
          <w:sz w:val="18"/>
          <w:szCs w:val="18"/>
        </w:rPr>
        <w:t xml:space="preserve">Children are rights holders and have a right to participate, in accordance with their evolving capacities, in raising awareness by speaking out about the impact of HIV/AIDS on their lives and in the development of HIV/AIDS policies and programmes.  Interventions have been found to </w:t>
      </w:r>
      <w:r w:rsidRPr="00917DEB">
        <w:rPr>
          <w:rFonts w:eastAsia="Calibri" w:cstheme="minorHAnsi"/>
          <w:sz w:val="18"/>
          <w:szCs w:val="18"/>
        </w:rPr>
        <w:t>benefit children most when they are actively involved in assessing needs, devising solutions, shaping strategies and carrying them out rather than being seen as objects for whom decisions are</w:t>
      </w:r>
      <w:r>
        <w:rPr>
          <w:rFonts w:eastAsia="Calibri" w:cstheme="minorHAnsi"/>
          <w:sz w:val="18"/>
          <w:szCs w:val="18"/>
        </w:rPr>
        <w:t xml:space="preserve"> made</w:t>
      </w:r>
      <w:r>
        <w:rPr>
          <w:rFonts w:cstheme="minorHAnsi"/>
          <w:sz w:val="18"/>
          <w:szCs w:val="18"/>
        </w:rPr>
        <w:t>…’</w:t>
      </w:r>
    </w:p>
  </w:footnote>
  <w:footnote w:id="22">
    <w:p w:rsidR="008C41C0" w:rsidRPr="00917DEB" w:rsidRDefault="008C41C0" w:rsidP="00D74F9E">
      <w:pPr>
        <w:pStyle w:val="NoSpacing"/>
        <w:jc w:val="both"/>
        <w:rPr>
          <w:sz w:val="18"/>
          <w:szCs w:val="18"/>
        </w:rPr>
      </w:pPr>
      <w:r>
        <w:rPr>
          <w:rStyle w:val="FootnoteReference"/>
          <w:sz w:val="18"/>
          <w:szCs w:val="18"/>
        </w:rPr>
        <w:footnoteRef/>
      </w:r>
      <w:r w:rsidRPr="00C428F7">
        <w:rPr>
          <w:sz w:val="18"/>
          <w:szCs w:val="18"/>
        </w:rPr>
        <w:t xml:space="preserve"> See paragraph 39(d): ‘To this end, States parties must notably fulfil the following obligations: … </w:t>
      </w:r>
      <w:r w:rsidRPr="00C428F7">
        <w:rPr>
          <w:color w:val="000000"/>
          <w:sz w:val="18"/>
          <w:szCs w:val="18"/>
        </w:rPr>
        <w:t>(d) To ensure that adolescent girls and boys have the opportunity to participate actively in planning and programming for their own health and development;’</w:t>
      </w:r>
    </w:p>
  </w:footnote>
  <w:footnote w:id="23">
    <w:p w:rsidR="008C41C0" w:rsidRPr="00917DEB" w:rsidRDefault="008C41C0" w:rsidP="00D74F9E">
      <w:pPr>
        <w:pStyle w:val="NoSpacing"/>
        <w:jc w:val="both"/>
        <w:rPr>
          <w:sz w:val="18"/>
          <w:szCs w:val="18"/>
        </w:rPr>
      </w:pPr>
      <w:r>
        <w:rPr>
          <w:rStyle w:val="FootnoteReference"/>
          <w:sz w:val="18"/>
          <w:szCs w:val="18"/>
        </w:rPr>
        <w:footnoteRef/>
      </w:r>
      <w:r w:rsidRPr="00C428F7">
        <w:rPr>
          <w:sz w:val="18"/>
          <w:szCs w:val="18"/>
        </w:rPr>
        <w:t xml:space="preserve"> </w:t>
      </w:r>
      <w:r w:rsidRPr="00917DEB">
        <w:rPr>
          <w:sz w:val="18"/>
          <w:szCs w:val="18"/>
        </w:rPr>
        <w:t xml:space="preserve">See, e.g., </w:t>
      </w:r>
      <w:r>
        <w:rPr>
          <w:sz w:val="18"/>
          <w:szCs w:val="18"/>
        </w:rPr>
        <w:t xml:space="preserve">the </w:t>
      </w:r>
      <w:r w:rsidRPr="00917DEB">
        <w:rPr>
          <w:sz w:val="18"/>
          <w:szCs w:val="18"/>
        </w:rPr>
        <w:t>literature on child participation in health-related programmes and activities highlighted at http://www.unicef.org/adolescence/cypguide/resourceguide_health.html</w:t>
      </w:r>
      <w:r w:rsidRPr="00C428F7">
        <w:rPr>
          <w:sz w:val="18"/>
          <w:szCs w:val="18"/>
        </w:rPr>
        <w:t>.</w:t>
      </w:r>
    </w:p>
  </w:footnote>
  <w:footnote w:id="24">
    <w:p w:rsidR="008C41C0" w:rsidRPr="00D74F9E" w:rsidRDefault="008C41C0" w:rsidP="00D74F9E">
      <w:pPr>
        <w:pStyle w:val="NoSpacing"/>
        <w:jc w:val="both"/>
        <w:rPr>
          <w:sz w:val="18"/>
          <w:szCs w:val="18"/>
        </w:rPr>
      </w:pPr>
      <w:r>
        <w:rPr>
          <w:rStyle w:val="FootnoteReference"/>
          <w:sz w:val="18"/>
          <w:szCs w:val="18"/>
        </w:rPr>
        <w:footnoteRef/>
      </w:r>
      <w:r w:rsidRPr="00C428F7">
        <w:rPr>
          <w:sz w:val="18"/>
          <w:szCs w:val="18"/>
        </w:rPr>
        <w:t xml:space="preserve"> It is arguable that such a</w:t>
      </w:r>
      <w:r w:rsidR="00CC1448">
        <w:rPr>
          <w:sz w:val="18"/>
          <w:szCs w:val="18"/>
        </w:rPr>
        <w:t xml:space="preserve"> ‘merely consultative’</w:t>
      </w:r>
      <w:r w:rsidRPr="00C428F7">
        <w:rPr>
          <w:sz w:val="18"/>
          <w:szCs w:val="18"/>
        </w:rPr>
        <w:t xml:space="preserve"> approach is reflected in some of the Committee’s previous</w:t>
      </w:r>
      <w:r w:rsidRPr="00D74F9E">
        <w:rPr>
          <w:sz w:val="18"/>
          <w:szCs w:val="18"/>
        </w:rPr>
        <w:t xml:space="preserve"> statements on health. See, e.g., paragraph 104 of ComRC General Comment No.4: ‘This information can be obtained through, inter alia, feedback systems for children using services or involved in research and consultative processes, and can be transmitted to local or national children’s councils or parliaments to develop standards and indicators of health services that respect the rights of the child.’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C8A"/>
    <w:multiLevelType w:val="hybridMultilevel"/>
    <w:tmpl w:val="40FA49AA"/>
    <w:lvl w:ilvl="0" w:tplc="950EC90E">
      <w:start w:val="1"/>
      <w:numFmt w:val="bullet"/>
      <w:lvlText w:val="•"/>
      <w:lvlJc w:val="left"/>
      <w:pPr>
        <w:tabs>
          <w:tab w:val="num" w:pos="720"/>
        </w:tabs>
        <w:ind w:left="720" w:hanging="360"/>
      </w:pPr>
      <w:rPr>
        <w:rFonts w:ascii="Arial" w:hAnsi="Arial" w:hint="default"/>
      </w:rPr>
    </w:lvl>
    <w:lvl w:ilvl="1" w:tplc="A560F0C0">
      <w:start w:val="1741"/>
      <w:numFmt w:val="bullet"/>
      <w:lvlText w:val="–"/>
      <w:lvlJc w:val="left"/>
      <w:pPr>
        <w:tabs>
          <w:tab w:val="num" w:pos="1440"/>
        </w:tabs>
        <w:ind w:left="1440" w:hanging="360"/>
      </w:pPr>
      <w:rPr>
        <w:rFonts w:ascii="Arial" w:hAnsi="Arial" w:hint="default"/>
      </w:rPr>
    </w:lvl>
    <w:lvl w:ilvl="2" w:tplc="82BCD152" w:tentative="1">
      <w:start w:val="1"/>
      <w:numFmt w:val="bullet"/>
      <w:lvlText w:val="•"/>
      <w:lvlJc w:val="left"/>
      <w:pPr>
        <w:tabs>
          <w:tab w:val="num" w:pos="2160"/>
        </w:tabs>
        <w:ind w:left="2160" w:hanging="360"/>
      </w:pPr>
      <w:rPr>
        <w:rFonts w:ascii="Arial" w:hAnsi="Arial" w:hint="default"/>
      </w:rPr>
    </w:lvl>
    <w:lvl w:ilvl="3" w:tplc="F370C7BA" w:tentative="1">
      <w:start w:val="1"/>
      <w:numFmt w:val="bullet"/>
      <w:lvlText w:val="•"/>
      <w:lvlJc w:val="left"/>
      <w:pPr>
        <w:tabs>
          <w:tab w:val="num" w:pos="2880"/>
        </w:tabs>
        <w:ind w:left="2880" w:hanging="360"/>
      </w:pPr>
      <w:rPr>
        <w:rFonts w:ascii="Arial" w:hAnsi="Arial" w:hint="default"/>
      </w:rPr>
    </w:lvl>
    <w:lvl w:ilvl="4" w:tplc="BE86C3AE" w:tentative="1">
      <w:start w:val="1"/>
      <w:numFmt w:val="bullet"/>
      <w:lvlText w:val="•"/>
      <w:lvlJc w:val="left"/>
      <w:pPr>
        <w:tabs>
          <w:tab w:val="num" w:pos="3600"/>
        </w:tabs>
        <w:ind w:left="3600" w:hanging="360"/>
      </w:pPr>
      <w:rPr>
        <w:rFonts w:ascii="Arial" w:hAnsi="Arial" w:hint="default"/>
      </w:rPr>
    </w:lvl>
    <w:lvl w:ilvl="5" w:tplc="65141E34" w:tentative="1">
      <w:start w:val="1"/>
      <w:numFmt w:val="bullet"/>
      <w:lvlText w:val="•"/>
      <w:lvlJc w:val="left"/>
      <w:pPr>
        <w:tabs>
          <w:tab w:val="num" w:pos="4320"/>
        </w:tabs>
        <w:ind w:left="4320" w:hanging="360"/>
      </w:pPr>
      <w:rPr>
        <w:rFonts w:ascii="Arial" w:hAnsi="Arial" w:hint="default"/>
      </w:rPr>
    </w:lvl>
    <w:lvl w:ilvl="6" w:tplc="F230B512" w:tentative="1">
      <w:start w:val="1"/>
      <w:numFmt w:val="bullet"/>
      <w:lvlText w:val="•"/>
      <w:lvlJc w:val="left"/>
      <w:pPr>
        <w:tabs>
          <w:tab w:val="num" w:pos="5040"/>
        </w:tabs>
        <w:ind w:left="5040" w:hanging="360"/>
      </w:pPr>
      <w:rPr>
        <w:rFonts w:ascii="Arial" w:hAnsi="Arial" w:hint="default"/>
      </w:rPr>
    </w:lvl>
    <w:lvl w:ilvl="7" w:tplc="E4E6F2C2" w:tentative="1">
      <w:start w:val="1"/>
      <w:numFmt w:val="bullet"/>
      <w:lvlText w:val="•"/>
      <w:lvlJc w:val="left"/>
      <w:pPr>
        <w:tabs>
          <w:tab w:val="num" w:pos="5760"/>
        </w:tabs>
        <w:ind w:left="5760" w:hanging="360"/>
      </w:pPr>
      <w:rPr>
        <w:rFonts w:ascii="Arial" w:hAnsi="Arial" w:hint="default"/>
      </w:rPr>
    </w:lvl>
    <w:lvl w:ilvl="8" w:tplc="C3E0FD44" w:tentative="1">
      <w:start w:val="1"/>
      <w:numFmt w:val="bullet"/>
      <w:lvlText w:val="•"/>
      <w:lvlJc w:val="left"/>
      <w:pPr>
        <w:tabs>
          <w:tab w:val="num" w:pos="6480"/>
        </w:tabs>
        <w:ind w:left="6480" w:hanging="360"/>
      </w:pPr>
      <w:rPr>
        <w:rFonts w:ascii="Arial" w:hAnsi="Arial" w:hint="default"/>
      </w:rPr>
    </w:lvl>
  </w:abstractNum>
  <w:abstractNum w:abstractNumId="1">
    <w:nsid w:val="082D6258"/>
    <w:multiLevelType w:val="hybridMultilevel"/>
    <w:tmpl w:val="F140C2BE"/>
    <w:lvl w:ilvl="0" w:tplc="44BE82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AA5D52"/>
    <w:multiLevelType w:val="hybridMultilevel"/>
    <w:tmpl w:val="E9F4E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97730"/>
    <w:multiLevelType w:val="hybridMultilevel"/>
    <w:tmpl w:val="E9F4E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54685CFA"/>
    <w:multiLevelType w:val="hybridMultilevel"/>
    <w:tmpl w:val="4AF05E1A"/>
    <w:lvl w:ilvl="0" w:tplc="A54CFFF0">
      <w:start w:val="1"/>
      <w:numFmt w:val="bullet"/>
      <w:lvlText w:val="–"/>
      <w:lvlJc w:val="left"/>
      <w:pPr>
        <w:tabs>
          <w:tab w:val="num" w:pos="720"/>
        </w:tabs>
        <w:ind w:left="720" w:hanging="360"/>
      </w:pPr>
      <w:rPr>
        <w:rFonts w:ascii="Arial" w:hAnsi="Arial" w:hint="default"/>
      </w:rPr>
    </w:lvl>
    <w:lvl w:ilvl="1" w:tplc="241A75F2">
      <w:start w:val="1"/>
      <w:numFmt w:val="bullet"/>
      <w:lvlText w:val="–"/>
      <w:lvlJc w:val="left"/>
      <w:pPr>
        <w:tabs>
          <w:tab w:val="num" w:pos="1440"/>
        </w:tabs>
        <w:ind w:left="1440" w:hanging="360"/>
      </w:pPr>
      <w:rPr>
        <w:rFonts w:ascii="Arial" w:hAnsi="Arial" w:hint="default"/>
      </w:rPr>
    </w:lvl>
    <w:lvl w:ilvl="2" w:tplc="4216A7D6" w:tentative="1">
      <w:start w:val="1"/>
      <w:numFmt w:val="bullet"/>
      <w:lvlText w:val="–"/>
      <w:lvlJc w:val="left"/>
      <w:pPr>
        <w:tabs>
          <w:tab w:val="num" w:pos="2160"/>
        </w:tabs>
        <w:ind w:left="2160" w:hanging="360"/>
      </w:pPr>
      <w:rPr>
        <w:rFonts w:ascii="Arial" w:hAnsi="Arial" w:hint="default"/>
      </w:rPr>
    </w:lvl>
    <w:lvl w:ilvl="3" w:tplc="5C489D98" w:tentative="1">
      <w:start w:val="1"/>
      <w:numFmt w:val="bullet"/>
      <w:lvlText w:val="–"/>
      <w:lvlJc w:val="left"/>
      <w:pPr>
        <w:tabs>
          <w:tab w:val="num" w:pos="2880"/>
        </w:tabs>
        <w:ind w:left="2880" w:hanging="360"/>
      </w:pPr>
      <w:rPr>
        <w:rFonts w:ascii="Arial" w:hAnsi="Arial" w:hint="default"/>
      </w:rPr>
    </w:lvl>
    <w:lvl w:ilvl="4" w:tplc="6D84C774" w:tentative="1">
      <w:start w:val="1"/>
      <w:numFmt w:val="bullet"/>
      <w:lvlText w:val="–"/>
      <w:lvlJc w:val="left"/>
      <w:pPr>
        <w:tabs>
          <w:tab w:val="num" w:pos="3600"/>
        </w:tabs>
        <w:ind w:left="3600" w:hanging="360"/>
      </w:pPr>
      <w:rPr>
        <w:rFonts w:ascii="Arial" w:hAnsi="Arial" w:hint="default"/>
      </w:rPr>
    </w:lvl>
    <w:lvl w:ilvl="5" w:tplc="548AC9E6" w:tentative="1">
      <w:start w:val="1"/>
      <w:numFmt w:val="bullet"/>
      <w:lvlText w:val="–"/>
      <w:lvlJc w:val="left"/>
      <w:pPr>
        <w:tabs>
          <w:tab w:val="num" w:pos="4320"/>
        </w:tabs>
        <w:ind w:left="4320" w:hanging="360"/>
      </w:pPr>
      <w:rPr>
        <w:rFonts w:ascii="Arial" w:hAnsi="Arial" w:hint="default"/>
      </w:rPr>
    </w:lvl>
    <w:lvl w:ilvl="6" w:tplc="1E924B38" w:tentative="1">
      <w:start w:val="1"/>
      <w:numFmt w:val="bullet"/>
      <w:lvlText w:val="–"/>
      <w:lvlJc w:val="left"/>
      <w:pPr>
        <w:tabs>
          <w:tab w:val="num" w:pos="5040"/>
        </w:tabs>
        <w:ind w:left="5040" w:hanging="360"/>
      </w:pPr>
      <w:rPr>
        <w:rFonts w:ascii="Arial" w:hAnsi="Arial" w:hint="default"/>
      </w:rPr>
    </w:lvl>
    <w:lvl w:ilvl="7" w:tplc="17709C9C" w:tentative="1">
      <w:start w:val="1"/>
      <w:numFmt w:val="bullet"/>
      <w:lvlText w:val="–"/>
      <w:lvlJc w:val="left"/>
      <w:pPr>
        <w:tabs>
          <w:tab w:val="num" w:pos="5760"/>
        </w:tabs>
        <w:ind w:left="5760" w:hanging="360"/>
      </w:pPr>
      <w:rPr>
        <w:rFonts w:ascii="Arial" w:hAnsi="Arial" w:hint="default"/>
      </w:rPr>
    </w:lvl>
    <w:lvl w:ilvl="8" w:tplc="9FBC7888" w:tentative="1">
      <w:start w:val="1"/>
      <w:numFmt w:val="bullet"/>
      <w:lvlText w:val="–"/>
      <w:lvlJc w:val="left"/>
      <w:pPr>
        <w:tabs>
          <w:tab w:val="num" w:pos="6480"/>
        </w:tabs>
        <w:ind w:left="6480" w:hanging="360"/>
      </w:pPr>
      <w:rPr>
        <w:rFonts w:ascii="Arial" w:hAnsi="Arial" w:hint="default"/>
      </w:rPr>
    </w:lvl>
  </w:abstractNum>
  <w:abstractNum w:abstractNumId="6">
    <w:nsid w:val="55FA2A1B"/>
    <w:multiLevelType w:val="multilevel"/>
    <w:tmpl w:val="2CD0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D532DA"/>
    <w:multiLevelType w:val="hybridMultilevel"/>
    <w:tmpl w:val="8B9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F5122"/>
    <w:multiLevelType w:val="hybridMultilevel"/>
    <w:tmpl w:val="BB4603F0"/>
    <w:lvl w:ilvl="0" w:tplc="68469F7C">
      <w:start w:val="1"/>
      <w:numFmt w:val="bullet"/>
      <w:lvlText w:val="–"/>
      <w:lvlJc w:val="left"/>
      <w:pPr>
        <w:tabs>
          <w:tab w:val="num" w:pos="720"/>
        </w:tabs>
        <w:ind w:left="720" w:hanging="360"/>
      </w:pPr>
      <w:rPr>
        <w:rFonts w:ascii="Arial" w:hAnsi="Arial" w:hint="default"/>
      </w:rPr>
    </w:lvl>
    <w:lvl w:ilvl="1" w:tplc="F73676B6">
      <w:start w:val="1"/>
      <w:numFmt w:val="bullet"/>
      <w:lvlText w:val="–"/>
      <w:lvlJc w:val="left"/>
      <w:pPr>
        <w:tabs>
          <w:tab w:val="num" w:pos="1440"/>
        </w:tabs>
        <w:ind w:left="1440" w:hanging="360"/>
      </w:pPr>
      <w:rPr>
        <w:rFonts w:ascii="Arial" w:hAnsi="Arial" w:hint="default"/>
      </w:rPr>
    </w:lvl>
    <w:lvl w:ilvl="2" w:tplc="99C6BBB6" w:tentative="1">
      <w:start w:val="1"/>
      <w:numFmt w:val="bullet"/>
      <w:lvlText w:val="–"/>
      <w:lvlJc w:val="left"/>
      <w:pPr>
        <w:tabs>
          <w:tab w:val="num" w:pos="2160"/>
        </w:tabs>
        <w:ind w:left="2160" w:hanging="360"/>
      </w:pPr>
      <w:rPr>
        <w:rFonts w:ascii="Arial" w:hAnsi="Arial" w:hint="default"/>
      </w:rPr>
    </w:lvl>
    <w:lvl w:ilvl="3" w:tplc="E5A4819E" w:tentative="1">
      <w:start w:val="1"/>
      <w:numFmt w:val="bullet"/>
      <w:lvlText w:val="–"/>
      <w:lvlJc w:val="left"/>
      <w:pPr>
        <w:tabs>
          <w:tab w:val="num" w:pos="2880"/>
        </w:tabs>
        <w:ind w:left="2880" w:hanging="360"/>
      </w:pPr>
      <w:rPr>
        <w:rFonts w:ascii="Arial" w:hAnsi="Arial" w:hint="default"/>
      </w:rPr>
    </w:lvl>
    <w:lvl w:ilvl="4" w:tplc="3218225A" w:tentative="1">
      <w:start w:val="1"/>
      <w:numFmt w:val="bullet"/>
      <w:lvlText w:val="–"/>
      <w:lvlJc w:val="left"/>
      <w:pPr>
        <w:tabs>
          <w:tab w:val="num" w:pos="3600"/>
        </w:tabs>
        <w:ind w:left="3600" w:hanging="360"/>
      </w:pPr>
      <w:rPr>
        <w:rFonts w:ascii="Arial" w:hAnsi="Arial" w:hint="default"/>
      </w:rPr>
    </w:lvl>
    <w:lvl w:ilvl="5" w:tplc="430209F2" w:tentative="1">
      <w:start w:val="1"/>
      <w:numFmt w:val="bullet"/>
      <w:lvlText w:val="–"/>
      <w:lvlJc w:val="left"/>
      <w:pPr>
        <w:tabs>
          <w:tab w:val="num" w:pos="4320"/>
        </w:tabs>
        <w:ind w:left="4320" w:hanging="360"/>
      </w:pPr>
      <w:rPr>
        <w:rFonts w:ascii="Arial" w:hAnsi="Arial" w:hint="default"/>
      </w:rPr>
    </w:lvl>
    <w:lvl w:ilvl="6" w:tplc="ECF4F996" w:tentative="1">
      <w:start w:val="1"/>
      <w:numFmt w:val="bullet"/>
      <w:lvlText w:val="–"/>
      <w:lvlJc w:val="left"/>
      <w:pPr>
        <w:tabs>
          <w:tab w:val="num" w:pos="5040"/>
        </w:tabs>
        <w:ind w:left="5040" w:hanging="360"/>
      </w:pPr>
      <w:rPr>
        <w:rFonts w:ascii="Arial" w:hAnsi="Arial" w:hint="default"/>
      </w:rPr>
    </w:lvl>
    <w:lvl w:ilvl="7" w:tplc="9F54E88A" w:tentative="1">
      <w:start w:val="1"/>
      <w:numFmt w:val="bullet"/>
      <w:lvlText w:val="–"/>
      <w:lvlJc w:val="left"/>
      <w:pPr>
        <w:tabs>
          <w:tab w:val="num" w:pos="5760"/>
        </w:tabs>
        <w:ind w:left="5760" w:hanging="360"/>
      </w:pPr>
      <w:rPr>
        <w:rFonts w:ascii="Arial" w:hAnsi="Arial" w:hint="default"/>
      </w:rPr>
    </w:lvl>
    <w:lvl w:ilvl="8" w:tplc="84BEE3CC" w:tentative="1">
      <w:start w:val="1"/>
      <w:numFmt w:val="bullet"/>
      <w:lvlText w:val="–"/>
      <w:lvlJc w:val="left"/>
      <w:pPr>
        <w:tabs>
          <w:tab w:val="num" w:pos="6480"/>
        </w:tabs>
        <w:ind w:left="6480" w:hanging="360"/>
      </w:pPr>
      <w:rPr>
        <w:rFonts w:ascii="Arial" w:hAnsi="Arial" w:hint="default"/>
      </w:rPr>
    </w:lvl>
  </w:abstractNum>
  <w:abstractNum w:abstractNumId="9">
    <w:nsid w:val="78E711B6"/>
    <w:multiLevelType w:val="hybridMultilevel"/>
    <w:tmpl w:val="52481738"/>
    <w:lvl w:ilvl="0" w:tplc="26120C1C">
      <w:start w:val="1"/>
      <w:numFmt w:val="bullet"/>
      <w:lvlText w:val="•"/>
      <w:lvlJc w:val="left"/>
      <w:pPr>
        <w:tabs>
          <w:tab w:val="num" w:pos="720"/>
        </w:tabs>
        <w:ind w:left="720" w:hanging="360"/>
      </w:pPr>
      <w:rPr>
        <w:rFonts w:ascii="Arial" w:hAnsi="Arial" w:hint="default"/>
      </w:rPr>
    </w:lvl>
    <w:lvl w:ilvl="1" w:tplc="F1F01FB2" w:tentative="1">
      <w:start w:val="1"/>
      <w:numFmt w:val="bullet"/>
      <w:lvlText w:val="•"/>
      <w:lvlJc w:val="left"/>
      <w:pPr>
        <w:tabs>
          <w:tab w:val="num" w:pos="1440"/>
        </w:tabs>
        <w:ind w:left="1440" w:hanging="360"/>
      </w:pPr>
      <w:rPr>
        <w:rFonts w:ascii="Arial" w:hAnsi="Arial" w:hint="default"/>
      </w:rPr>
    </w:lvl>
    <w:lvl w:ilvl="2" w:tplc="306E61A2" w:tentative="1">
      <w:start w:val="1"/>
      <w:numFmt w:val="bullet"/>
      <w:lvlText w:val="•"/>
      <w:lvlJc w:val="left"/>
      <w:pPr>
        <w:tabs>
          <w:tab w:val="num" w:pos="2160"/>
        </w:tabs>
        <w:ind w:left="2160" w:hanging="360"/>
      </w:pPr>
      <w:rPr>
        <w:rFonts w:ascii="Arial" w:hAnsi="Arial" w:hint="default"/>
      </w:rPr>
    </w:lvl>
    <w:lvl w:ilvl="3" w:tplc="15F25422" w:tentative="1">
      <w:start w:val="1"/>
      <w:numFmt w:val="bullet"/>
      <w:lvlText w:val="•"/>
      <w:lvlJc w:val="left"/>
      <w:pPr>
        <w:tabs>
          <w:tab w:val="num" w:pos="2880"/>
        </w:tabs>
        <w:ind w:left="2880" w:hanging="360"/>
      </w:pPr>
      <w:rPr>
        <w:rFonts w:ascii="Arial" w:hAnsi="Arial" w:hint="default"/>
      </w:rPr>
    </w:lvl>
    <w:lvl w:ilvl="4" w:tplc="F782D7EA" w:tentative="1">
      <w:start w:val="1"/>
      <w:numFmt w:val="bullet"/>
      <w:lvlText w:val="•"/>
      <w:lvlJc w:val="left"/>
      <w:pPr>
        <w:tabs>
          <w:tab w:val="num" w:pos="3600"/>
        </w:tabs>
        <w:ind w:left="3600" w:hanging="360"/>
      </w:pPr>
      <w:rPr>
        <w:rFonts w:ascii="Arial" w:hAnsi="Arial" w:hint="default"/>
      </w:rPr>
    </w:lvl>
    <w:lvl w:ilvl="5" w:tplc="C598CD24" w:tentative="1">
      <w:start w:val="1"/>
      <w:numFmt w:val="bullet"/>
      <w:lvlText w:val="•"/>
      <w:lvlJc w:val="left"/>
      <w:pPr>
        <w:tabs>
          <w:tab w:val="num" w:pos="4320"/>
        </w:tabs>
        <w:ind w:left="4320" w:hanging="360"/>
      </w:pPr>
      <w:rPr>
        <w:rFonts w:ascii="Arial" w:hAnsi="Arial" w:hint="default"/>
      </w:rPr>
    </w:lvl>
    <w:lvl w:ilvl="6" w:tplc="7DB4E606" w:tentative="1">
      <w:start w:val="1"/>
      <w:numFmt w:val="bullet"/>
      <w:lvlText w:val="•"/>
      <w:lvlJc w:val="left"/>
      <w:pPr>
        <w:tabs>
          <w:tab w:val="num" w:pos="5040"/>
        </w:tabs>
        <w:ind w:left="5040" w:hanging="360"/>
      </w:pPr>
      <w:rPr>
        <w:rFonts w:ascii="Arial" w:hAnsi="Arial" w:hint="default"/>
      </w:rPr>
    </w:lvl>
    <w:lvl w:ilvl="7" w:tplc="F5125542" w:tentative="1">
      <w:start w:val="1"/>
      <w:numFmt w:val="bullet"/>
      <w:lvlText w:val="•"/>
      <w:lvlJc w:val="left"/>
      <w:pPr>
        <w:tabs>
          <w:tab w:val="num" w:pos="5760"/>
        </w:tabs>
        <w:ind w:left="5760" w:hanging="360"/>
      </w:pPr>
      <w:rPr>
        <w:rFonts w:ascii="Arial" w:hAnsi="Arial" w:hint="default"/>
      </w:rPr>
    </w:lvl>
    <w:lvl w:ilvl="8" w:tplc="508462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0"/>
  </w:num>
  <w:num w:numId="4">
    <w:abstractNumId w:val="8"/>
  </w:num>
  <w:num w:numId="5">
    <w:abstractNumId w:val="5"/>
  </w:num>
  <w:num w:numId="6">
    <w:abstractNumId w:val="2"/>
  </w:num>
  <w:num w:numId="7">
    <w:abstractNumId w:val="7"/>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606A"/>
    <w:rsid w:val="00000EB1"/>
    <w:rsid w:val="00020869"/>
    <w:rsid w:val="00027422"/>
    <w:rsid w:val="00032200"/>
    <w:rsid w:val="000379D6"/>
    <w:rsid w:val="00041897"/>
    <w:rsid w:val="0004339C"/>
    <w:rsid w:val="00055C42"/>
    <w:rsid w:val="000803AD"/>
    <w:rsid w:val="0008687E"/>
    <w:rsid w:val="00093901"/>
    <w:rsid w:val="0009416B"/>
    <w:rsid w:val="000A2CE9"/>
    <w:rsid w:val="000B0356"/>
    <w:rsid w:val="000D0D21"/>
    <w:rsid w:val="000D3673"/>
    <w:rsid w:val="000D3B39"/>
    <w:rsid w:val="000E0DF5"/>
    <w:rsid w:val="000E10F3"/>
    <w:rsid w:val="000E6C7F"/>
    <w:rsid w:val="000E7528"/>
    <w:rsid w:val="000F4199"/>
    <w:rsid w:val="00104877"/>
    <w:rsid w:val="0012104D"/>
    <w:rsid w:val="001236E1"/>
    <w:rsid w:val="00124F9E"/>
    <w:rsid w:val="0013283D"/>
    <w:rsid w:val="00135DB0"/>
    <w:rsid w:val="0014057E"/>
    <w:rsid w:val="001465E4"/>
    <w:rsid w:val="00152ECA"/>
    <w:rsid w:val="00154C58"/>
    <w:rsid w:val="00156C94"/>
    <w:rsid w:val="00163669"/>
    <w:rsid w:val="001663AC"/>
    <w:rsid w:val="001849F3"/>
    <w:rsid w:val="00192BBD"/>
    <w:rsid w:val="001947BC"/>
    <w:rsid w:val="00194FE7"/>
    <w:rsid w:val="001C41F4"/>
    <w:rsid w:val="001D056D"/>
    <w:rsid w:val="001D09B5"/>
    <w:rsid w:val="001E3C0E"/>
    <w:rsid w:val="001E4F1C"/>
    <w:rsid w:val="001F0BD7"/>
    <w:rsid w:val="001F477D"/>
    <w:rsid w:val="002048DE"/>
    <w:rsid w:val="002072B1"/>
    <w:rsid w:val="00223198"/>
    <w:rsid w:val="00244A66"/>
    <w:rsid w:val="002512B8"/>
    <w:rsid w:val="0025144D"/>
    <w:rsid w:val="002867C2"/>
    <w:rsid w:val="00291D7F"/>
    <w:rsid w:val="00291FE3"/>
    <w:rsid w:val="002A4F12"/>
    <w:rsid w:val="002B059D"/>
    <w:rsid w:val="002B30B3"/>
    <w:rsid w:val="002B51E4"/>
    <w:rsid w:val="002C465F"/>
    <w:rsid w:val="002C709A"/>
    <w:rsid w:val="002D072F"/>
    <w:rsid w:val="002E0212"/>
    <w:rsid w:val="002E08E6"/>
    <w:rsid w:val="002E120F"/>
    <w:rsid w:val="002E2CA9"/>
    <w:rsid w:val="002F120E"/>
    <w:rsid w:val="003017EF"/>
    <w:rsid w:val="00306396"/>
    <w:rsid w:val="0031291A"/>
    <w:rsid w:val="00312F3D"/>
    <w:rsid w:val="00323382"/>
    <w:rsid w:val="00345E07"/>
    <w:rsid w:val="0035097A"/>
    <w:rsid w:val="00362AF2"/>
    <w:rsid w:val="00367E21"/>
    <w:rsid w:val="0037131A"/>
    <w:rsid w:val="00380E50"/>
    <w:rsid w:val="003838DF"/>
    <w:rsid w:val="003873FE"/>
    <w:rsid w:val="003919E8"/>
    <w:rsid w:val="003979A5"/>
    <w:rsid w:val="003B355A"/>
    <w:rsid w:val="003D4D13"/>
    <w:rsid w:val="003D5691"/>
    <w:rsid w:val="003F101D"/>
    <w:rsid w:val="003F6111"/>
    <w:rsid w:val="00415CB3"/>
    <w:rsid w:val="00422380"/>
    <w:rsid w:val="00430945"/>
    <w:rsid w:val="00431751"/>
    <w:rsid w:val="00433D6F"/>
    <w:rsid w:val="0043798B"/>
    <w:rsid w:val="004419FA"/>
    <w:rsid w:val="00447302"/>
    <w:rsid w:val="004A7115"/>
    <w:rsid w:val="004B103D"/>
    <w:rsid w:val="004C2B40"/>
    <w:rsid w:val="004C6A12"/>
    <w:rsid w:val="004D6A1F"/>
    <w:rsid w:val="004F41C6"/>
    <w:rsid w:val="00513198"/>
    <w:rsid w:val="00521D9C"/>
    <w:rsid w:val="0052544F"/>
    <w:rsid w:val="00533AD6"/>
    <w:rsid w:val="005361A3"/>
    <w:rsid w:val="0054155B"/>
    <w:rsid w:val="005610C8"/>
    <w:rsid w:val="00563AED"/>
    <w:rsid w:val="005774FF"/>
    <w:rsid w:val="00587343"/>
    <w:rsid w:val="005900B5"/>
    <w:rsid w:val="005A04E8"/>
    <w:rsid w:val="005A4232"/>
    <w:rsid w:val="005C3215"/>
    <w:rsid w:val="005D0E04"/>
    <w:rsid w:val="005D2020"/>
    <w:rsid w:val="005D3B5E"/>
    <w:rsid w:val="005D4AF4"/>
    <w:rsid w:val="005D504C"/>
    <w:rsid w:val="005E1CC6"/>
    <w:rsid w:val="005F4BB8"/>
    <w:rsid w:val="005F4D4D"/>
    <w:rsid w:val="00644FA8"/>
    <w:rsid w:val="006537B1"/>
    <w:rsid w:val="00661DB4"/>
    <w:rsid w:val="00663250"/>
    <w:rsid w:val="00693995"/>
    <w:rsid w:val="006D09F1"/>
    <w:rsid w:val="006E77D3"/>
    <w:rsid w:val="007007B0"/>
    <w:rsid w:val="00707942"/>
    <w:rsid w:val="00721C0B"/>
    <w:rsid w:val="0072254F"/>
    <w:rsid w:val="00730AA3"/>
    <w:rsid w:val="00735AEF"/>
    <w:rsid w:val="0074006A"/>
    <w:rsid w:val="00751093"/>
    <w:rsid w:val="00764B79"/>
    <w:rsid w:val="007653BA"/>
    <w:rsid w:val="007662E4"/>
    <w:rsid w:val="007A2A18"/>
    <w:rsid w:val="007C3466"/>
    <w:rsid w:val="007C4132"/>
    <w:rsid w:val="007F26E3"/>
    <w:rsid w:val="00800E25"/>
    <w:rsid w:val="00800F5A"/>
    <w:rsid w:val="0080655D"/>
    <w:rsid w:val="00810D26"/>
    <w:rsid w:val="00814F6F"/>
    <w:rsid w:val="0081748D"/>
    <w:rsid w:val="00820A6E"/>
    <w:rsid w:val="00822862"/>
    <w:rsid w:val="0082357A"/>
    <w:rsid w:val="00831F7A"/>
    <w:rsid w:val="008340B3"/>
    <w:rsid w:val="00837883"/>
    <w:rsid w:val="00845B84"/>
    <w:rsid w:val="00845BDD"/>
    <w:rsid w:val="008474DA"/>
    <w:rsid w:val="00854506"/>
    <w:rsid w:val="008637DA"/>
    <w:rsid w:val="00870E76"/>
    <w:rsid w:val="00881880"/>
    <w:rsid w:val="00883AD8"/>
    <w:rsid w:val="00885125"/>
    <w:rsid w:val="008B4FA5"/>
    <w:rsid w:val="008C41C0"/>
    <w:rsid w:val="008C6FA0"/>
    <w:rsid w:val="008D2B66"/>
    <w:rsid w:val="008E0CB1"/>
    <w:rsid w:val="008E1180"/>
    <w:rsid w:val="008E20C9"/>
    <w:rsid w:val="008E34C2"/>
    <w:rsid w:val="008E57B1"/>
    <w:rsid w:val="008E76E5"/>
    <w:rsid w:val="008E78E5"/>
    <w:rsid w:val="008F03AB"/>
    <w:rsid w:val="008F459D"/>
    <w:rsid w:val="00917DEB"/>
    <w:rsid w:val="00917E4C"/>
    <w:rsid w:val="00920596"/>
    <w:rsid w:val="0092125D"/>
    <w:rsid w:val="00927CF9"/>
    <w:rsid w:val="00932976"/>
    <w:rsid w:val="00935842"/>
    <w:rsid w:val="00935BA4"/>
    <w:rsid w:val="00942A94"/>
    <w:rsid w:val="00963CCD"/>
    <w:rsid w:val="00986EE4"/>
    <w:rsid w:val="00990543"/>
    <w:rsid w:val="00991000"/>
    <w:rsid w:val="00995852"/>
    <w:rsid w:val="009B0F3A"/>
    <w:rsid w:val="009B1A92"/>
    <w:rsid w:val="009B69AC"/>
    <w:rsid w:val="009B6D99"/>
    <w:rsid w:val="009B733D"/>
    <w:rsid w:val="009C1374"/>
    <w:rsid w:val="009C54B4"/>
    <w:rsid w:val="009C6DED"/>
    <w:rsid w:val="009C7801"/>
    <w:rsid w:val="009D11F0"/>
    <w:rsid w:val="009D65E6"/>
    <w:rsid w:val="009E37A3"/>
    <w:rsid w:val="009F0524"/>
    <w:rsid w:val="009F13A4"/>
    <w:rsid w:val="00A01674"/>
    <w:rsid w:val="00A037F7"/>
    <w:rsid w:val="00A05F3C"/>
    <w:rsid w:val="00A110F7"/>
    <w:rsid w:val="00A17E83"/>
    <w:rsid w:val="00A23B6A"/>
    <w:rsid w:val="00A263FD"/>
    <w:rsid w:val="00A279EF"/>
    <w:rsid w:val="00A27DFB"/>
    <w:rsid w:val="00A36170"/>
    <w:rsid w:val="00A4217B"/>
    <w:rsid w:val="00A45F27"/>
    <w:rsid w:val="00A52EED"/>
    <w:rsid w:val="00A56260"/>
    <w:rsid w:val="00A73053"/>
    <w:rsid w:val="00A76216"/>
    <w:rsid w:val="00A87FC5"/>
    <w:rsid w:val="00AA5B51"/>
    <w:rsid w:val="00AC71B9"/>
    <w:rsid w:val="00B077B7"/>
    <w:rsid w:val="00B242FF"/>
    <w:rsid w:val="00B25793"/>
    <w:rsid w:val="00B36424"/>
    <w:rsid w:val="00B37A80"/>
    <w:rsid w:val="00B43863"/>
    <w:rsid w:val="00B667B9"/>
    <w:rsid w:val="00B677B1"/>
    <w:rsid w:val="00B872D1"/>
    <w:rsid w:val="00B9048F"/>
    <w:rsid w:val="00B92866"/>
    <w:rsid w:val="00BA5B09"/>
    <w:rsid w:val="00BA706F"/>
    <w:rsid w:val="00BB02E0"/>
    <w:rsid w:val="00BB29BE"/>
    <w:rsid w:val="00BB429F"/>
    <w:rsid w:val="00BC6915"/>
    <w:rsid w:val="00BE7204"/>
    <w:rsid w:val="00BF35B5"/>
    <w:rsid w:val="00C02922"/>
    <w:rsid w:val="00C170DF"/>
    <w:rsid w:val="00C2169A"/>
    <w:rsid w:val="00C31180"/>
    <w:rsid w:val="00C37321"/>
    <w:rsid w:val="00C428F7"/>
    <w:rsid w:val="00C45A70"/>
    <w:rsid w:val="00C461AE"/>
    <w:rsid w:val="00C60758"/>
    <w:rsid w:val="00C775B0"/>
    <w:rsid w:val="00C87213"/>
    <w:rsid w:val="00C9746A"/>
    <w:rsid w:val="00CA08EC"/>
    <w:rsid w:val="00CA0EEC"/>
    <w:rsid w:val="00CA526C"/>
    <w:rsid w:val="00CC1448"/>
    <w:rsid w:val="00CC40CB"/>
    <w:rsid w:val="00CD130F"/>
    <w:rsid w:val="00CD340F"/>
    <w:rsid w:val="00CD7435"/>
    <w:rsid w:val="00CD7654"/>
    <w:rsid w:val="00CE0CB6"/>
    <w:rsid w:val="00CE2AB4"/>
    <w:rsid w:val="00D2205A"/>
    <w:rsid w:val="00D237AD"/>
    <w:rsid w:val="00D325DB"/>
    <w:rsid w:val="00D32CCF"/>
    <w:rsid w:val="00D33543"/>
    <w:rsid w:val="00D44AED"/>
    <w:rsid w:val="00D46CA1"/>
    <w:rsid w:val="00D5222C"/>
    <w:rsid w:val="00D675EC"/>
    <w:rsid w:val="00D74F9E"/>
    <w:rsid w:val="00D75E64"/>
    <w:rsid w:val="00D81E46"/>
    <w:rsid w:val="00D91CB7"/>
    <w:rsid w:val="00D93FA4"/>
    <w:rsid w:val="00DC380B"/>
    <w:rsid w:val="00DD4970"/>
    <w:rsid w:val="00DD5B92"/>
    <w:rsid w:val="00DE23AA"/>
    <w:rsid w:val="00DE5AC1"/>
    <w:rsid w:val="00DF006C"/>
    <w:rsid w:val="00DF1A8E"/>
    <w:rsid w:val="00DF4F6F"/>
    <w:rsid w:val="00E03E49"/>
    <w:rsid w:val="00E1215A"/>
    <w:rsid w:val="00E22A29"/>
    <w:rsid w:val="00E338BC"/>
    <w:rsid w:val="00E45393"/>
    <w:rsid w:val="00E524BA"/>
    <w:rsid w:val="00E6373E"/>
    <w:rsid w:val="00E82A76"/>
    <w:rsid w:val="00E861D8"/>
    <w:rsid w:val="00E869D4"/>
    <w:rsid w:val="00E97E6B"/>
    <w:rsid w:val="00EA0054"/>
    <w:rsid w:val="00EB3481"/>
    <w:rsid w:val="00EB68CD"/>
    <w:rsid w:val="00EC037B"/>
    <w:rsid w:val="00ED0181"/>
    <w:rsid w:val="00ED06AF"/>
    <w:rsid w:val="00ED70BD"/>
    <w:rsid w:val="00EE21A4"/>
    <w:rsid w:val="00EE3C56"/>
    <w:rsid w:val="00EF31CC"/>
    <w:rsid w:val="00EF606A"/>
    <w:rsid w:val="00F041CC"/>
    <w:rsid w:val="00F1595C"/>
    <w:rsid w:val="00F174C2"/>
    <w:rsid w:val="00F17DE4"/>
    <w:rsid w:val="00F247D9"/>
    <w:rsid w:val="00F25F1B"/>
    <w:rsid w:val="00F34BA9"/>
    <w:rsid w:val="00F37867"/>
    <w:rsid w:val="00F43F47"/>
    <w:rsid w:val="00F5394C"/>
    <w:rsid w:val="00F618FC"/>
    <w:rsid w:val="00F80ACD"/>
    <w:rsid w:val="00F81934"/>
    <w:rsid w:val="00F91F51"/>
    <w:rsid w:val="00FA0E53"/>
    <w:rsid w:val="00FA1F80"/>
    <w:rsid w:val="00FA36DA"/>
    <w:rsid w:val="00FA7C39"/>
    <w:rsid w:val="00FB0EDD"/>
    <w:rsid w:val="00FB46A2"/>
    <w:rsid w:val="00FC5894"/>
    <w:rsid w:val="00FD6C0B"/>
    <w:rsid w:val="00FE013E"/>
    <w:rsid w:val="00FE1BFF"/>
    <w:rsid w:val="00FE326E"/>
    <w:rsid w:val="00FF5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FB"/>
  </w:style>
  <w:style w:type="paragraph" w:styleId="Heading3">
    <w:name w:val="heading 3"/>
    <w:basedOn w:val="Normal"/>
    <w:link w:val="Heading3Char"/>
    <w:uiPriority w:val="99"/>
    <w:qFormat/>
    <w:rsid w:val="00DF4F6F"/>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Heading6">
    <w:name w:val="heading 6"/>
    <w:basedOn w:val="Normal"/>
    <w:next w:val="Normal"/>
    <w:link w:val="Heading6Char"/>
    <w:uiPriority w:val="9"/>
    <w:unhideWhenUsed/>
    <w:qFormat/>
    <w:rsid w:val="00A562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vFootnote Text,single space Char,single space,Footnote reference,FA Fu,Footnote Text Char Char Char Char Char,Footnote Text Char Char Char Char,Footnote Text Char1,Footnote Text Char Char,Footnote Text Char1 Char Char"/>
    <w:basedOn w:val="Normal"/>
    <w:link w:val="FootnoteTextChar"/>
    <w:uiPriority w:val="99"/>
    <w:unhideWhenUsed/>
    <w:rsid w:val="00EF606A"/>
    <w:pPr>
      <w:spacing w:after="0" w:line="240" w:lineRule="auto"/>
    </w:pPr>
    <w:rPr>
      <w:sz w:val="20"/>
      <w:szCs w:val="20"/>
    </w:rPr>
  </w:style>
  <w:style w:type="character" w:customStyle="1" w:styleId="FootnoteTextChar">
    <w:name w:val="Footnote Text Char"/>
    <w:aliases w:val="vFootnote Text Char,single space Char Char,single space Char1,Footnote reference Char,FA Fu Char,Footnote Text Char Char Char Char Char Char,Footnote Text Char Char Char Char Char1,Footnote Text Char1 Char,Footnote Text Char Char Char"/>
    <w:basedOn w:val="DefaultParagraphFont"/>
    <w:link w:val="FootnoteText"/>
    <w:uiPriority w:val="99"/>
    <w:rsid w:val="00EF606A"/>
    <w:rPr>
      <w:sz w:val="20"/>
      <w:szCs w:val="20"/>
    </w:rPr>
  </w:style>
  <w:style w:type="character" w:styleId="FootnoteReference">
    <w:name w:val="footnote reference"/>
    <w:aliases w:val="Footnotes refss"/>
    <w:basedOn w:val="DefaultParagraphFont"/>
    <w:uiPriority w:val="99"/>
    <w:unhideWhenUsed/>
    <w:rsid w:val="00EF606A"/>
    <w:rPr>
      <w:vertAlign w:val="superscript"/>
    </w:rPr>
  </w:style>
  <w:style w:type="character" w:styleId="CommentReference">
    <w:name w:val="annotation reference"/>
    <w:basedOn w:val="DefaultParagraphFont"/>
    <w:semiHidden/>
    <w:unhideWhenUsed/>
    <w:rsid w:val="00EF606A"/>
    <w:rPr>
      <w:sz w:val="16"/>
      <w:szCs w:val="16"/>
    </w:rPr>
  </w:style>
  <w:style w:type="paragraph" w:styleId="CommentText">
    <w:name w:val="annotation text"/>
    <w:basedOn w:val="Normal"/>
    <w:link w:val="CommentTextChar"/>
    <w:unhideWhenUsed/>
    <w:rsid w:val="00EF606A"/>
    <w:pPr>
      <w:spacing w:line="240" w:lineRule="auto"/>
    </w:pPr>
    <w:rPr>
      <w:sz w:val="20"/>
      <w:szCs w:val="20"/>
    </w:rPr>
  </w:style>
  <w:style w:type="character" w:customStyle="1" w:styleId="CommentTextChar">
    <w:name w:val="Comment Text Char"/>
    <w:basedOn w:val="DefaultParagraphFont"/>
    <w:link w:val="CommentText"/>
    <w:rsid w:val="00EF606A"/>
    <w:rPr>
      <w:sz w:val="20"/>
      <w:szCs w:val="20"/>
    </w:rPr>
  </w:style>
  <w:style w:type="paragraph" w:styleId="CommentSubject">
    <w:name w:val="annotation subject"/>
    <w:basedOn w:val="CommentText"/>
    <w:next w:val="CommentText"/>
    <w:link w:val="CommentSubjectChar"/>
    <w:uiPriority w:val="99"/>
    <w:semiHidden/>
    <w:unhideWhenUsed/>
    <w:rsid w:val="00EF606A"/>
    <w:rPr>
      <w:b/>
      <w:bCs/>
    </w:rPr>
  </w:style>
  <w:style w:type="character" w:customStyle="1" w:styleId="CommentSubjectChar">
    <w:name w:val="Comment Subject Char"/>
    <w:basedOn w:val="CommentTextChar"/>
    <w:link w:val="CommentSubject"/>
    <w:uiPriority w:val="99"/>
    <w:semiHidden/>
    <w:rsid w:val="00EF606A"/>
    <w:rPr>
      <w:b/>
      <w:bCs/>
      <w:sz w:val="20"/>
      <w:szCs w:val="20"/>
    </w:rPr>
  </w:style>
  <w:style w:type="paragraph" w:styleId="BalloonText">
    <w:name w:val="Balloon Text"/>
    <w:basedOn w:val="Normal"/>
    <w:link w:val="BalloonTextChar"/>
    <w:uiPriority w:val="99"/>
    <w:semiHidden/>
    <w:unhideWhenUsed/>
    <w:rsid w:val="00EF6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6A"/>
    <w:rPr>
      <w:rFonts w:ascii="Tahoma" w:hAnsi="Tahoma" w:cs="Tahoma"/>
      <w:sz w:val="16"/>
      <w:szCs w:val="16"/>
    </w:rPr>
  </w:style>
  <w:style w:type="paragraph" w:customStyle="1" w:styleId="ParaNo">
    <w:name w:val="ParaNo."/>
    <w:basedOn w:val="Normal"/>
    <w:rsid w:val="00BC6915"/>
    <w:pPr>
      <w:numPr>
        <w:numId w:val="1"/>
      </w:numPr>
      <w:tabs>
        <w:tab w:val="left" w:pos="737"/>
      </w:tabs>
      <w:spacing w:after="240" w:line="240" w:lineRule="auto"/>
    </w:pPr>
    <w:rPr>
      <w:rFonts w:ascii="Times New Roman" w:eastAsia="Times New Roman" w:hAnsi="Times New Roman" w:cs="Times New Roman"/>
      <w:sz w:val="24"/>
      <w:szCs w:val="20"/>
      <w:lang w:val="fr-CH"/>
    </w:rPr>
  </w:style>
  <w:style w:type="paragraph" w:styleId="NoSpacing">
    <w:name w:val="No Spacing"/>
    <w:uiPriority w:val="1"/>
    <w:qFormat/>
    <w:rsid w:val="00BC6915"/>
    <w:pPr>
      <w:spacing w:after="0" w:line="240" w:lineRule="auto"/>
    </w:pPr>
  </w:style>
  <w:style w:type="character" w:customStyle="1" w:styleId="Heading3Char">
    <w:name w:val="Heading 3 Char"/>
    <w:basedOn w:val="DefaultParagraphFont"/>
    <w:link w:val="Heading3"/>
    <w:uiPriority w:val="99"/>
    <w:rsid w:val="00DF4F6F"/>
    <w:rPr>
      <w:rFonts w:ascii="Times New Roman" w:eastAsia="Times New Roman" w:hAnsi="Times New Roman" w:cs="Times New Roman"/>
      <w:b/>
      <w:bCs/>
      <w:sz w:val="27"/>
      <w:szCs w:val="27"/>
      <w:lang w:val="es-ES" w:eastAsia="es-ES"/>
    </w:rPr>
  </w:style>
  <w:style w:type="paragraph" w:styleId="ListParagraph">
    <w:name w:val="List Paragraph"/>
    <w:basedOn w:val="Normal"/>
    <w:uiPriority w:val="99"/>
    <w:qFormat/>
    <w:rsid w:val="00DF4F6F"/>
    <w:pPr>
      <w:ind w:left="720"/>
      <w:contextualSpacing/>
    </w:pPr>
    <w:rPr>
      <w:lang w:val="en-US"/>
    </w:rPr>
  </w:style>
  <w:style w:type="paragraph" w:styleId="EndnoteText">
    <w:name w:val="endnote text"/>
    <w:basedOn w:val="Normal"/>
    <w:link w:val="EndnoteTextChar"/>
    <w:semiHidden/>
    <w:rsid w:val="00DF4F6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DF4F6F"/>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DF4F6F"/>
    <w:rPr>
      <w:vertAlign w:val="superscript"/>
    </w:rPr>
  </w:style>
  <w:style w:type="paragraph" w:styleId="Header">
    <w:name w:val="header"/>
    <w:basedOn w:val="Normal"/>
    <w:link w:val="HeaderChar"/>
    <w:uiPriority w:val="99"/>
    <w:semiHidden/>
    <w:unhideWhenUsed/>
    <w:rsid w:val="00E338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8BC"/>
  </w:style>
  <w:style w:type="paragraph" w:styleId="Footer">
    <w:name w:val="footer"/>
    <w:basedOn w:val="Normal"/>
    <w:link w:val="FooterChar"/>
    <w:uiPriority w:val="99"/>
    <w:unhideWhenUsed/>
    <w:rsid w:val="00E33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BC"/>
  </w:style>
  <w:style w:type="character" w:styleId="Hyperlink">
    <w:name w:val="Hyperlink"/>
    <w:basedOn w:val="DefaultParagraphFont"/>
    <w:uiPriority w:val="99"/>
    <w:unhideWhenUsed/>
    <w:rsid w:val="000F4199"/>
    <w:rPr>
      <w:color w:val="0000FF" w:themeColor="hyperlink"/>
      <w:u w:val="single"/>
    </w:rPr>
  </w:style>
  <w:style w:type="character" w:customStyle="1" w:styleId="Heading6Char">
    <w:name w:val="Heading 6 Char"/>
    <w:basedOn w:val="DefaultParagraphFont"/>
    <w:link w:val="Heading6"/>
    <w:uiPriority w:val="9"/>
    <w:rsid w:val="00A56260"/>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A56260"/>
  </w:style>
  <w:style w:type="paragraph" w:styleId="Revision">
    <w:name w:val="Revision"/>
    <w:hidden/>
    <w:uiPriority w:val="99"/>
    <w:semiHidden/>
    <w:rsid w:val="00B37A8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FB"/>
  </w:style>
  <w:style w:type="paragraph" w:styleId="Heading3">
    <w:name w:val="heading 3"/>
    <w:basedOn w:val="Normal"/>
    <w:link w:val="Heading3Char"/>
    <w:uiPriority w:val="99"/>
    <w:qFormat/>
    <w:rsid w:val="00DF4F6F"/>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Heading6">
    <w:name w:val="heading 6"/>
    <w:basedOn w:val="Normal"/>
    <w:next w:val="Normal"/>
    <w:link w:val="Heading6Char"/>
    <w:uiPriority w:val="9"/>
    <w:unhideWhenUsed/>
    <w:qFormat/>
    <w:rsid w:val="00A562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vFootnote Text,single space Char,single space,Footnote reference,FA Fu,Footnote Text Char Char Char Char Char,Footnote Text Char Char Char Char,Footnote Text Char1,Footnote Text Char Char,Footnote Text Char1 Char Char"/>
    <w:basedOn w:val="Normal"/>
    <w:link w:val="FootnoteTextChar"/>
    <w:uiPriority w:val="99"/>
    <w:unhideWhenUsed/>
    <w:rsid w:val="00EF606A"/>
    <w:pPr>
      <w:spacing w:after="0" w:line="240" w:lineRule="auto"/>
    </w:pPr>
    <w:rPr>
      <w:sz w:val="20"/>
      <w:szCs w:val="20"/>
    </w:rPr>
  </w:style>
  <w:style w:type="character" w:customStyle="1" w:styleId="FootnoteTextChar">
    <w:name w:val="Footnote Text Char"/>
    <w:aliases w:val="vFootnote Text Char,single space Char Char,single space Char1,Footnote reference Char,FA Fu Char,Footnote Text Char Char Char Char Char Char,Footnote Text Char Char Char Char Char1,Footnote Text Char1 Char,Footnote Text Char Char Char"/>
    <w:basedOn w:val="DefaultParagraphFont"/>
    <w:link w:val="FootnoteText"/>
    <w:uiPriority w:val="99"/>
    <w:rsid w:val="00EF606A"/>
    <w:rPr>
      <w:sz w:val="20"/>
      <w:szCs w:val="20"/>
    </w:rPr>
  </w:style>
  <w:style w:type="character" w:styleId="FootnoteReference">
    <w:name w:val="footnote reference"/>
    <w:aliases w:val="Footnotes refss"/>
    <w:basedOn w:val="DefaultParagraphFont"/>
    <w:uiPriority w:val="99"/>
    <w:unhideWhenUsed/>
    <w:rsid w:val="00EF606A"/>
    <w:rPr>
      <w:vertAlign w:val="superscript"/>
    </w:rPr>
  </w:style>
  <w:style w:type="character" w:styleId="CommentReference">
    <w:name w:val="annotation reference"/>
    <w:basedOn w:val="DefaultParagraphFont"/>
    <w:semiHidden/>
    <w:unhideWhenUsed/>
    <w:rsid w:val="00EF606A"/>
    <w:rPr>
      <w:sz w:val="16"/>
      <w:szCs w:val="16"/>
    </w:rPr>
  </w:style>
  <w:style w:type="paragraph" w:styleId="CommentText">
    <w:name w:val="annotation text"/>
    <w:basedOn w:val="Normal"/>
    <w:link w:val="CommentTextChar"/>
    <w:unhideWhenUsed/>
    <w:rsid w:val="00EF606A"/>
    <w:pPr>
      <w:spacing w:line="240" w:lineRule="auto"/>
    </w:pPr>
    <w:rPr>
      <w:sz w:val="20"/>
      <w:szCs w:val="20"/>
    </w:rPr>
  </w:style>
  <w:style w:type="character" w:customStyle="1" w:styleId="CommentTextChar">
    <w:name w:val="Comment Text Char"/>
    <w:basedOn w:val="DefaultParagraphFont"/>
    <w:link w:val="CommentText"/>
    <w:rsid w:val="00EF606A"/>
    <w:rPr>
      <w:sz w:val="20"/>
      <w:szCs w:val="20"/>
    </w:rPr>
  </w:style>
  <w:style w:type="paragraph" w:styleId="CommentSubject">
    <w:name w:val="annotation subject"/>
    <w:basedOn w:val="CommentText"/>
    <w:next w:val="CommentText"/>
    <w:link w:val="CommentSubjectChar"/>
    <w:uiPriority w:val="99"/>
    <w:semiHidden/>
    <w:unhideWhenUsed/>
    <w:rsid w:val="00EF606A"/>
    <w:rPr>
      <w:b/>
      <w:bCs/>
    </w:rPr>
  </w:style>
  <w:style w:type="character" w:customStyle="1" w:styleId="CommentSubjectChar">
    <w:name w:val="Comment Subject Char"/>
    <w:basedOn w:val="CommentTextChar"/>
    <w:link w:val="CommentSubject"/>
    <w:uiPriority w:val="99"/>
    <w:semiHidden/>
    <w:rsid w:val="00EF606A"/>
    <w:rPr>
      <w:b/>
      <w:bCs/>
      <w:sz w:val="20"/>
      <w:szCs w:val="20"/>
    </w:rPr>
  </w:style>
  <w:style w:type="paragraph" w:styleId="BalloonText">
    <w:name w:val="Balloon Text"/>
    <w:basedOn w:val="Normal"/>
    <w:link w:val="BalloonTextChar"/>
    <w:uiPriority w:val="99"/>
    <w:semiHidden/>
    <w:unhideWhenUsed/>
    <w:rsid w:val="00EF6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6A"/>
    <w:rPr>
      <w:rFonts w:ascii="Tahoma" w:hAnsi="Tahoma" w:cs="Tahoma"/>
      <w:sz w:val="16"/>
      <w:szCs w:val="16"/>
    </w:rPr>
  </w:style>
  <w:style w:type="paragraph" w:customStyle="1" w:styleId="ParaNo">
    <w:name w:val="ParaNo."/>
    <w:basedOn w:val="Normal"/>
    <w:rsid w:val="00BC6915"/>
    <w:pPr>
      <w:numPr>
        <w:numId w:val="1"/>
      </w:numPr>
      <w:tabs>
        <w:tab w:val="left" w:pos="737"/>
      </w:tabs>
      <w:spacing w:after="240" w:line="240" w:lineRule="auto"/>
    </w:pPr>
    <w:rPr>
      <w:rFonts w:ascii="Times New Roman" w:eastAsia="Times New Roman" w:hAnsi="Times New Roman" w:cs="Times New Roman"/>
      <w:sz w:val="24"/>
      <w:szCs w:val="20"/>
      <w:lang w:val="fr-CH"/>
    </w:rPr>
  </w:style>
  <w:style w:type="paragraph" w:styleId="NoSpacing">
    <w:name w:val="No Spacing"/>
    <w:uiPriority w:val="1"/>
    <w:qFormat/>
    <w:rsid w:val="00BC6915"/>
    <w:pPr>
      <w:spacing w:after="0" w:line="240" w:lineRule="auto"/>
    </w:pPr>
  </w:style>
  <w:style w:type="character" w:customStyle="1" w:styleId="Heading3Char">
    <w:name w:val="Heading 3 Char"/>
    <w:basedOn w:val="DefaultParagraphFont"/>
    <w:link w:val="Heading3"/>
    <w:uiPriority w:val="99"/>
    <w:rsid w:val="00DF4F6F"/>
    <w:rPr>
      <w:rFonts w:ascii="Times New Roman" w:eastAsia="Times New Roman" w:hAnsi="Times New Roman" w:cs="Times New Roman"/>
      <w:b/>
      <w:bCs/>
      <w:sz w:val="27"/>
      <w:szCs w:val="27"/>
      <w:lang w:val="es-ES" w:eastAsia="es-ES"/>
    </w:rPr>
  </w:style>
  <w:style w:type="paragraph" w:styleId="ListParagraph">
    <w:name w:val="List Paragraph"/>
    <w:basedOn w:val="Normal"/>
    <w:uiPriority w:val="99"/>
    <w:qFormat/>
    <w:rsid w:val="00DF4F6F"/>
    <w:pPr>
      <w:ind w:left="720"/>
      <w:contextualSpacing/>
    </w:pPr>
    <w:rPr>
      <w:lang w:val="en-US"/>
    </w:rPr>
  </w:style>
  <w:style w:type="paragraph" w:styleId="EndnoteText">
    <w:name w:val="endnote text"/>
    <w:basedOn w:val="Normal"/>
    <w:link w:val="EndnoteTextChar"/>
    <w:semiHidden/>
    <w:rsid w:val="00DF4F6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DF4F6F"/>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DF4F6F"/>
    <w:rPr>
      <w:vertAlign w:val="superscript"/>
    </w:rPr>
  </w:style>
  <w:style w:type="paragraph" w:styleId="Header">
    <w:name w:val="header"/>
    <w:basedOn w:val="Normal"/>
    <w:link w:val="HeaderChar"/>
    <w:uiPriority w:val="99"/>
    <w:semiHidden/>
    <w:unhideWhenUsed/>
    <w:rsid w:val="00E338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8BC"/>
  </w:style>
  <w:style w:type="paragraph" w:styleId="Footer">
    <w:name w:val="footer"/>
    <w:basedOn w:val="Normal"/>
    <w:link w:val="FooterChar"/>
    <w:uiPriority w:val="99"/>
    <w:unhideWhenUsed/>
    <w:rsid w:val="00E33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BC"/>
  </w:style>
  <w:style w:type="character" w:styleId="Hyperlink">
    <w:name w:val="Hyperlink"/>
    <w:basedOn w:val="DefaultParagraphFont"/>
    <w:uiPriority w:val="99"/>
    <w:unhideWhenUsed/>
    <w:rsid w:val="000F4199"/>
    <w:rPr>
      <w:color w:val="0000FF" w:themeColor="hyperlink"/>
      <w:u w:val="single"/>
    </w:rPr>
  </w:style>
  <w:style w:type="character" w:customStyle="1" w:styleId="Heading6Char">
    <w:name w:val="Heading 6 Char"/>
    <w:basedOn w:val="DefaultParagraphFont"/>
    <w:link w:val="Heading6"/>
    <w:uiPriority w:val="9"/>
    <w:rsid w:val="00A56260"/>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A56260"/>
  </w:style>
  <w:style w:type="paragraph" w:styleId="Revision">
    <w:name w:val="Revision"/>
    <w:hidden/>
    <w:uiPriority w:val="99"/>
    <w:semiHidden/>
    <w:rsid w:val="00B37A80"/>
    <w:pPr>
      <w:spacing w:after="0" w:line="240" w:lineRule="auto"/>
    </w:pPr>
  </w:style>
</w:styles>
</file>

<file path=word/webSettings.xml><?xml version="1.0" encoding="utf-8"?>
<w:webSettings xmlns:r="http://schemas.openxmlformats.org/officeDocument/2006/relationships" xmlns:w="http://schemas.openxmlformats.org/wordprocessingml/2006/main">
  <w:divs>
    <w:div w:id="306512538">
      <w:bodyDiv w:val="1"/>
      <w:marLeft w:val="0"/>
      <w:marRight w:val="0"/>
      <w:marTop w:val="0"/>
      <w:marBottom w:val="0"/>
      <w:divBdr>
        <w:top w:val="none" w:sz="0" w:space="0" w:color="auto"/>
        <w:left w:val="none" w:sz="0" w:space="0" w:color="auto"/>
        <w:bottom w:val="none" w:sz="0" w:space="0" w:color="auto"/>
        <w:right w:val="none" w:sz="0" w:space="0" w:color="auto"/>
      </w:divBdr>
      <w:divsChild>
        <w:div w:id="1784033484">
          <w:marLeft w:val="547"/>
          <w:marRight w:val="0"/>
          <w:marTop w:val="106"/>
          <w:marBottom w:val="0"/>
          <w:divBdr>
            <w:top w:val="none" w:sz="0" w:space="0" w:color="auto"/>
            <w:left w:val="none" w:sz="0" w:space="0" w:color="auto"/>
            <w:bottom w:val="none" w:sz="0" w:space="0" w:color="auto"/>
            <w:right w:val="none" w:sz="0" w:space="0" w:color="auto"/>
          </w:divBdr>
        </w:div>
      </w:divsChild>
    </w:div>
    <w:div w:id="437725006">
      <w:bodyDiv w:val="1"/>
      <w:marLeft w:val="0"/>
      <w:marRight w:val="0"/>
      <w:marTop w:val="0"/>
      <w:marBottom w:val="0"/>
      <w:divBdr>
        <w:top w:val="none" w:sz="0" w:space="0" w:color="auto"/>
        <w:left w:val="none" w:sz="0" w:space="0" w:color="auto"/>
        <w:bottom w:val="none" w:sz="0" w:space="0" w:color="auto"/>
        <w:right w:val="none" w:sz="0" w:space="0" w:color="auto"/>
      </w:divBdr>
      <w:divsChild>
        <w:div w:id="1280993300">
          <w:marLeft w:val="547"/>
          <w:marRight w:val="0"/>
          <w:marTop w:val="130"/>
          <w:marBottom w:val="0"/>
          <w:divBdr>
            <w:top w:val="none" w:sz="0" w:space="0" w:color="auto"/>
            <w:left w:val="none" w:sz="0" w:space="0" w:color="auto"/>
            <w:bottom w:val="none" w:sz="0" w:space="0" w:color="auto"/>
            <w:right w:val="none" w:sz="0" w:space="0" w:color="auto"/>
          </w:divBdr>
        </w:div>
        <w:div w:id="1937401363">
          <w:marLeft w:val="547"/>
          <w:marRight w:val="0"/>
          <w:marTop w:val="130"/>
          <w:marBottom w:val="0"/>
          <w:divBdr>
            <w:top w:val="none" w:sz="0" w:space="0" w:color="auto"/>
            <w:left w:val="none" w:sz="0" w:space="0" w:color="auto"/>
            <w:bottom w:val="none" w:sz="0" w:space="0" w:color="auto"/>
            <w:right w:val="none" w:sz="0" w:space="0" w:color="auto"/>
          </w:divBdr>
        </w:div>
      </w:divsChild>
    </w:div>
    <w:div w:id="874581738">
      <w:bodyDiv w:val="1"/>
      <w:marLeft w:val="0"/>
      <w:marRight w:val="0"/>
      <w:marTop w:val="0"/>
      <w:marBottom w:val="0"/>
      <w:divBdr>
        <w:top w:val="none" w:sz="0" w:space="0" w:color="auto"/>
        <w:left w:val="none" w:sz="0" w:space="0" w:color="auto"/>
        <w:bottom w:val="none" w:sz="0" w:space="0" w:color="auto"/>
        <w:right w:val="none" w:sz="0" w:space="0" w:color="auto"/>
      </w:divBdr>
      <w:divsChild>
        <w:div w:id="303395649">
          <w:marLeft w:val="0"/>
          <w:marRight w:val="0"/>
          <w:marTop w:val="0"/>
          <w:marBottom w:val="0"/>
          <w:divBdr>
            <w:top w:val="none" w:sz="0" w:space="0" w:color="auto"/>
            <w:left w:val="none" w:sz="0" w:space="0" w:color="auto"/>
            <w:bottom w:val="none" w:sz="0" w:space="0" w:color="auto"/>
            <w:right w:val="none" w:sz="0" w:space="0" w:color="auto"/>
          </w:divBdr>
          <w:divsChild>
            <w:div w:id="986394748">
              <w:marLeft w:val="0"/>
              <w:marRight w:val="0"/>
              <w:marTop w:val="0"/>
              <w:marBottom w:val="0"/>
              <w:divBdr>
                <w:top w:val="none" w:sz="0" w:space="0" w:color="auto"/>
                <w:left w:val="none" w:sz="0" w:space="0" w:color="auto"/>
                <w:bottom w:val="none" w:sz="0" w:space="0" w:color="auto"/>
                <w:right w:val="none" w:sz="0" w:space="0" w:color="auto"/>
              </w:divBdr>
              <w:divsChild>
                <w:div w:id="1332753930">
                  <w:marLeft w:val="-15"/>
                  <w:marRight w:val="0"/>
                  <w:marTop w:val="0"/>
                  <w:marBottom w:val="0"/>
                  <w:divBdr>
                    <w:top w:val="none" w:sz="0" w:space="0" w:color="auto"/>
                    <w:left w:val="none" w:sz="0" w:space="0" w:color="auto"/>
                    <w:bottom w:val="none" w:sz="0" w:space="0" w:color="auto"/>
                    <w:right w:val="none" w:sz="0" w:space="0" w:color="auto"/>
                  </w:divBdr>
                  <w:divsChild>
                    <w:div w:id="2084793554">
                      <w:marLeft w:val="0"/>
                      <w:marRight w:val="0"/>
                      <w:marTop w:val="0"/>
                      <w:marBottom w:val="0"/>
                      <w:divBdr>
                        <w:top w:val="none" w:sz="0" w:space="0" w:color="auto"/>
                        <w:left w:val="none" w:sz="0" w:space="0" w:color="auto"/>
                        <w:bottom w:val="none" w:sz="0" w:space="0" w:color="auto"/>
                        <w:right w:val="none" w:sz="0" w:space="0" w:color="auto"/>
                      </w:divBdr>
                      <w:divsChild>
                        <w:div w:id="1498643665">
                          <w:marLeft w:val="0"/>
                          <w:marRight w:val="-15"/>
                          <w:marTop w:val="0"/>
                          <w:marBottom w:val="0"/>
                          <w:divBdr>
                            <w:top w:val="none" w:sz="0" w:space="0" w:color="auto"/>
                            <w:left w:val="none" w:sz="0" w:space="0" w:color="auto"/>
                            <w:bottom w:val="none" w:sz="0" w:space="0" w:color="auto"/>
                            <w:right w:val="none" w:sz="0" w:space="0" w:color="auto"/>
                          </w:divBdr>
                          <w:divsChild>
                            <w:div w:id="2118482665">
                              <w:marLeft w:val="0"/>
                              <w:marRight w:val="0"/>
                              <w:marTop w:val="0"/>
                              <w:marBottom w:val="0"/>
                              <w:divBdr>
                                <w:top w:val="none" w:sz="0" w:space="0" w:color="auto"/>
                                <w:left w:val="none" w:sz="0" w:space="0" w:color="auto"/>
                                <w:bottom w:val="none" w:sz="0" w:space="0" w:color="auto"/>
                                <w:right w:val="none" w:sz="0" w:space="0" w:color="auto"/>
                              </w:divBdr>
                              <w:divsChild>
                                <w:div w:id="1295408421">
                                  <w:marLeft w:val="0"/>
                                  <w:marRight w:val="0"/>
                                  <w:marTop w:val="0"/>
                                  <w:marBottom w:val="0"/>
                                  <w:divBdr>
                                    <w:top w:val="none" w:sz="0" w:space="0" w:color="auto"/>
                                    <w:left w:val="none" w:sz="0" w:space="0" w:color="auto"/>
                                    <w:bottom w:val="none" w:sz="0" w:space="0" w:color="auto"/>
                                    <w:right w:val="none" w:sz="0" w:space="0" w:color="auto"/>
                                  </w:divBdr>
                                  <w:divsChild>
                                    <w:div w:id="1254586221">
                                      <w:marLeft w:val="0"/>
                                      <w:marRight w:val="0"/>
                                      <w:marTop w:val="0"/>
                                      <w:marBottom w:val="0"/>
                                      <w:divBdr>
                                        <w:top w:val="none" w:sz="0" w:space="0" w:color="auto"/>
                                        <w:left w:val="none" w:sz="0" w:space="0" w:color="auto"/>
                                        <w:bottom w:val="none" w:sz="0" w:space="0" w:color="auto"/>
                                        <w:right w:val="none" w:sz="0" w:space="0" w:color="auto"/>
                                      </w:divBdr>
                                      <w:divsChild>
                                        <w:div w:id="1977291879">
                                          <w:marLeft w:val="0"/>
                                          <w:marRight w:val="0"/>
                                          <w:marTop w:val="0"/>
                                          <w:marBottom w:val="0"/>
                                          <w:divBdr>
                                            <w:top w:val="none" w:sz="0" w:space="0" w:color="auto"/>
                                            <w:left w:val="none" w:sz="0" w:space="0" w:color="auto"/>
                                            <w:bottom w:val="none" w:sz="0" w:space="0" w:color="auto"/>
                                            <w:right w:val="none" w:sz="0" w:space="0" w:color="auto"/>
                                          </w:divBdr>
                                          <w:divsChild>
                                            <w:div w:id="734159178">
                                              <w:marLeft w:val="0"/>
                                              <w:marRight w:val="0"/>
                                              <w:marTop w:val="0"/>
                                              <w:marBottom w:val="0"/>
                                              <w:divBdr>
                                                <w:top w:val="none" w:sz="0" w:space="0" w:color="auto"/>
                                                <w:left w:val="none" w:sz="0" w:space="0" w:color="auto"/>
                                                <w:bottom w:val="none" w:sz="0" w:space="0" w:color="auto"/>
                                                <w:right w:val="none" w:sz="0" w:space="0" w:color="auto"/>
                                              </w:divBdr>
                                              <w:divsChild>
                                                <w:div w:id="14636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106492">
      <w:bodyDiv w:val="1"/>
      <w:marLeft w:val="0"/>
      <w:marRight w:val="0"/>
      <w:marTop w:val="0"/>
      <w:marBottom w:val="0"/>
      <w:divBdr>
        <w:top w:val="none" w:sz="0" w:space="0" w:color="auto"/>
        <w:left w:val="none" w:sz="0" w:space="0" w:color="auto"/>
        <w:bottom w:val="none" w:sz="0" w:space="0" w:color="auto"/>
        <w:right w:val="none" w:sz="0" w:space="0" w:color="auto"/>
      </w:divBdr>
      <w:divsChild>
        <w:div w:id="1484350857">
          <w:marLeft w:val="547"/>
          <w:marRight w:val="0"/>
          <w:marTop w:val="134"/>
          <w:marBottom w:val="0"/>
          <w:divBdr>
            <w:top w:val="none" w:sz="0" w:space="0" w:color="auto"/>
            <w:left w:val="none" w:sz="0" w:space="0" w:color="auto"/>
            <w:bottom w:val="none" w:sz="0" w:space="0" w:color="auto"/>
            <w:right w:val="none" w:sz="0" w:space="0" w:color="auto"/>
          </w:divBdr>
        </w:div>
        <w:div w:id="880822899">
          <w:marLeft w:val="547"/>
          <w:marRight w:val="0"/>
          <w:marTop w:val="134"/>
          <w:marBottom w:val="0"/>
          <w:divBdr>
            <w:top w:val="none" w:sz="0" w:space="0" w:color="auto"/>
            <w:left w:val="none" w:sz="0" w:space="0" w:color="auto"/>
            <w:bottom w:val="none" w:sz="0" w:space="0" w:color="auto"/>
            <w:right w:val="none" w:sz="0" w:space="0" w:color="auto"/>
          </w:divBdr>
        </w:div>
      </w:divsChild>
    </w:div>
    <w:div w:id="1184713047">
      <w:bodyDiv w:val="1"/>
      <w:marLeft w:val="0"/>
      <w:marRight w:val="0"/>
      <w:marTop w:val="0"/>
      <w:marBottom w:val="0"/>
      <w:divBdr>
        <w:top w:val="none" w:sz="0" w:space="0" w:color="auto"/>
        <w:left w:val="none" w:sz="0" w:space="0" w:color="auto"/>
        <w:bottom w:val="none" w:sz="0" w:space="0" w:color="auto"/>
        <w:right w:val="none" w:sz="0" w:space="0" w:color="auto"/>
      </w:divBdr>
      <w:divsChild>
        <w:div w:id="1583177059">
          <w:marLeft w:val="547"/>
          <w:marRight w:val="0"/>
          <w:marTop w:val="120"/>
          <w:marBottom w:val="0"/>
          <w:divBdr>
            <w:top w:val="none" w:sz="0" w:space="0" w:color="auto"/>
            <w:left w:val="none" w:sz="0" w:space="0" w:color="auto"/>
            <w:bottom w:val="none" w:sz="0" w:space="0" w:color="auto"/>
            <w:right w:val="none" w:sz="0" w:space="0" w:color="auto"/>
          </w:divBdr>
        </w:div>
        <w:div w:id="913704566">
          <w:marLeft w:val="1166"/>
          <w:marRight w:val="0"/>
          <w:marTop w:val="106"/>
          <w:marBottom w:val="0"/>
          <w:divBdr>
            <w:top w:val="none" w:sz="0" w:space="0" w:color="auto"/>
            <w:left w:val="none" w:sz="0" w:space="0" w:color="auto"/>
            <w:bottom w:val="none" w:sz="0" w:space="0" w:color="auto"/>
            <w:right w:val="none" w:sz="0" w:space="0" w:color="auto"/>
          </w:divBdr>
        </w:div>
        <w:div w:id="170259083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ife.nolan@durham.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meier.web.unc.edu/" TargetMode="External"/><Relationship Id="rId2" Type="http://schemas.openxmlformats.org/officeDocument/2006/relationships/hyperlink" Target="http://www.hsph.harvard.edu/faculty/alicia-yamin/profile/" TargetMode="External"/><Relationship Id="rId1" Type="http://schemas.openxmlformats.org/officeDocument/2006/relationships/hyperlink" Target="http://www.dur.ac.uk/law/staff/stafflist/?id=8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2AAF-AA6F-4F30-9448-1BCECE88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 </cp:lastModifiedBy>
  <cp:revision>51</cp:revision>
  <cp:lastPrinted>2012-01-06T12:33:00Z</cp:lastPrinted>
  <dcterms:created xsi:type="dcterms:W3CDTF">2012-01-06T11:47:00Z</dcterms:created>
  <dcterms:modified xsi:type="dcterms:W3CDTF">2012-01-06T15:41:00Z</dcterms:modified>
</cp:coreProperties>
</file>