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A1" w:rsidRDefault="00A41EA1" w:rsidP="00F90E8C">
      <w:pPr>
        <w:autoSpaceDE w:val="0"/>
        <w:autoSpaceDN w:val="0"/>
        <w:adjustRightInd w:val="0"/>
        <w:spacing w:after="0" w:line="240" w:lineRule="auto"/>
        <w:rPr>
          <w:rFonts w:ascii="Times New Roman" w:hAnsi="Times New Roman" w:cs="Times New Roman"/>
          <w:b/>
          <w:sz w:val="24"/>
          <w:szCs w:val="24"/>
        </w:rPr>
      </w:pPr>
    </w:p>
    <w:p w:rsidR="001D180C" w:rsidRDefault="00F90E8C" w:rsidP="001D180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PERU: </w:t>
      </w:r>
      <w:r w:rsidR="001D180C" w:rsidRPr="001D180C">
        <w:rPr>
          <w:rFonts w:ascii="Times New Roman" w:hAnsi="Times New Roman" w:cs="Times New Roman"/>
          <w:b/>
          <w:sz w:val="24"/>
          <w:szCs w:val="24"/>
        </w:rPr>
        <w:t>TRABAJADORAS/ES DE LA AGROEXPORTACION</w:t>
      </w:r>
    </w:p>
    <w:p w:rsidR="001D180C" w:rsidRPr="001D180C" w:rsidRDefault="001D180C" w:rsidP="001D180C">
      <w:pPr>
        <w:autoSpaceDE w:val="0"/>
        <w:autoSpaceDN w:val="0"/>
        <w:adjustRightInd w:val="0"/>
        <w:spacing w:after="0" w:line="240" w:lineRule="auto"/>
        <w:jc w:val="center"/>
        <w:rPr>
          <w:rFonts w:ascii="Times New Roman" w:hAnsi="Times New Roman" w:cs="Times New Roman"/>
          <w:b/>
          <w:sz w:val="24"/>
          <w:szCs w:val="24"/>
        </w:rPr>
      </w:pPr>
    </w:p>
    <w:p w:rsidR="00C87B29" w:rsidRDefault="000357D9" w:rsidP="00A30A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este último año, </w:t>
      </w:r>
      <w:r w:rsidR="00D149CA">
        <w:rPr>
          <w:rFonts w:ascii="Times New Roman" w:hAnsi="Times New Roman" w:cs="Times New Roman"/>
          <w:sz w:val="24"/>
          <w:szCs w:val="24"/>
        </w:rPr>
        <w:t>durante la campaña d</w:t>
      </w:r>
      <w:r>
        <w:rPr>
          <w:rFonts w:ascii="Times New Roman" w:hAnsi="Times New Roman" w:cs="Times New Roman"/>
          <w:sz w:val="24"/>
          <w:szCs w:val="24"/>
        </w:rPr>
        <w:t xml:space="preserve">el actual gobierno </w:t>
      </w:r>
      <w:r w:rsidR="00D149CA">
        <w:rPr>
          <w:rFonts w:ascii="Times New Roman" w:hAnsi="Times New Roman" w:cs="Times New Roman"/>
          <w:sz w:val="24"/>
          <w:szCs w:val="24"/>
        </w:rPr>
        <w:t xml:space="preserve">se </w:t>
      </w:r>
      <w:r>
        <w:rPr>
          <w:rFonts w:ascii="Times New Roman" w:hAnsi="Times New Roman" w:cs="Times New Roman"/>
          <w:sz w:val="24"/>
          <w:szCs w:val="24"/>
        </w:rPr>
        <w:t xml:space="preserve">planteó una serie de medidas para favorecer los derechos de las y los trabajadores, sin embargo la mayoría de ellas han sido meramente declarativas, ya que no se ha desarrollado ningún cambio de reforma legal para los trabajadores </w:t>
      </w:r>
      <w:r w:rsidR="00D149CA">
        <w:rPr>
          <w:rFonts w:ascii="Times New Roman" w:hAnsi="Times New Roman" w:cs="Times New Roman"/>
          <w:sz w:val="24"/>
          <w:szCs w:val="24"/>
        </w:rPr>
        <w:t xml:space="preserve">en general y tampoco para los </w:t>
      </w:r>
      <w:r>
        <w:rPr>
          <w:rFonts w:ascii="Times New Roman" w:hAnsi="Times New Roman" w:cs="Times New Roman"/>
          <w:sz w:val="24"/>
          <w:szCs w:val="24"/>
        </w:rPr>
        <w:t xml:space="preserve">de la agroindustria. </w:t>
      </w:r>
    </w:p>
    <w:p w:rsidR="00C87B29" w:rsidRDefault="00C87B29" w:rsidP="00A30A90">
      <w:pPr>
        <w:autoSpaceDE w:val="0"/>
        <w:autoSpaceDN w:val="0"/>
        <w:adjustRightInd w:val="0"/>
        <w:spacing w:after="0" w:line="240" w:lineRule="auto"/>
        <w:jc w:val="both"/>
        <w:rPr>
          <w:rFonts w:ascii="Times New Roman" w:hAnsi="Times New Roman" w:cs="Times New Roman"/>
          <w:sz w:val="24"/>
          <w:szCs w:val="24"/>
        </w:rPr>
      </w:pPr>
    </w:p>
    <w:p w:rsidR="00D149CA" w:rsidRPr="00D149CA" w:rsidRDefault="000357D9" w:rsidP="00C87B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primer lugar, la Ley de Promoción Agraria, tenía un carácter temporal y se ha ampliado hasta el año 2021. La ley se dio para promover la agricultura tanto en la costa como en la sierra, sin embargo sólo ha beneficiado a la costa y principalmente a las empresas agroexportadoras que son de capitales mixtos nacionales e internacionales.</w:t>
      </w:r>
      <w:r w:rsidR="00C87B29">
        <w:rPr>
          <w:rFonts w:ascii="Times New Roman" w:hAnsi="Times New Roman" w:cs="Times New Roman"/>
          <w:sz w:val="24"/>
          <w:szCs w:val="24"/>
        </w:rPr>
        <w:t xml:space="preserve"> </w:t>
      </w:r>
      <w:r w:rsidR="00D149CA" w:rsidRPr="00D149CA">
        <w:rPr>
          <w:rFonts w:ascii="Times New Roman" w:hAnsi="Times New Roman" w:cs="Times New Roman"/>
          <w:sz w:val="24"/>
          <w:szCs w:val="24"/>
        </w:rPr>
        <w:t xml:space="preserve">La Ley ha generado incentivos para la atracción de la gran inversión en las zonas de la costa, facilitando la concentración de tierras. Al mismo tiempo se ha constituido en un elemento que ha aumentado la diferenciación entre el denominado “agro moderno”, básicamente de </w:t>
      </w:r>
      <w:proofErr w:type="spellStart"/>
      <w:r w:rsidR="00D149CA" w:rsidRPr="00D149CA">
        <w:rPr>
          <w:rFonts w:ascii="Times New Roman" w:hAnsi="Times New Roman" w:cs="Times New Roman"/>
          <w:sz w:val="24"/>
          <w:szCs w:val="24"/>
        </w:rPr>
        <w:t>agroexportación</w:t>
      </w:r>
      <w:proofErr w:type="spellEnd"/>
      <w:r w:rsidR="00D149CA" w:rsidRPr="00D149CA">
        <w:rPr>
          <w:rFonts w:ascii="Times New Roman" w:hAnsi="Times New Roman" w:cs="Times New Roman"/>
          <w:sz w:val="24"/>
          <w:szCs w:val="24"/>
        </w:rPr>
        <w:t>, y el “agro tradicional” que se encuentra más orientado hacia el mercado interno y que descansa en la pequeña producción</w:t>
      </w:r>
      <w:r w:rsidR="00054630">
        <w:rPr>
          <w:rStyle w:val="Refdenotaalpie"/>
          <w:rFonts w:ascii="Times New Roman" w:hAnsi="Times New Roman" w:cs="Times New Roman"/>
          <w:sz w:val="24"/>
          <w:szCs w:val="24"/>
        </w:rPr>
        <w:footnoteReference w:id="1"/>
      </w:r>
      <w:r w:rsidR="00D149CA" w:rsidRPr="00D149CA">
        <w:rPr>
          <w:rFonts w:ascii="Times New Roman" w:hAnsi="Times New Roman" w:cs="Times New Roman"/>
          <w:sz w:val="24"/>
          <w:szCs w:val="24"/>
        </w:rPr>
        <w:t>.</w:t>
      </w:r>
    </w:p>
    <w:p w:rsidR="00D149CA" w:rsidRPr="00D149CA" w:rsidRDefault="00D149CA" w:rsidP="00D149CA">
      <w:pPr>
        <w:spacing w:after="0" w:line="240" w:lineRule="auto"/>
        <w:jc w:val="both"/>
        <w:rPr>
          <w:rFonts w:ascii="Times New Roman" w:hAnsi="Times New Roman" w:cs="Times New Roman"/>
          <w:sz w:val="24"/>
          <w:szCs w:val="24"/>
        </w:rPr>
      </w:pPr>
    </w:p>
    <w:p w:rsidR="00D149CA" w:rsidRPr="00D149CA" w:rsidRDefault="00D149CA" w:rsidP="00D149CA">
      <w:pPr>
        <w:spacing w:after="0" w:line="240" w:lineRule="auto"/>
        <w:jc w:val="both"/>
        <w:rPr>
          <w:rFonts w:ascii="Times New Roman" w:hAnsi="Times New Roman" w:cs="Times New Roman"/>
          <w:sz w:val="24"/>
          <w:szCs w:val="24"/>
        </w:rPr>
      </w:pPr>
      <w:r w:rsidRPr="00D149CA">
        <w:rPr>
          <w:rFonts w:ascii="Times New Roman" w:hAnsi="Times New Roman" w:cs="Times New Roman"/>
          <w:sz w:val="24"/>
          <w:szCs w:val="24"/>
        </w:rPr>
        <w:t>Al favorecer la concentración de las tierras, ha generado las condiciones de rentabilidad para traer de vuelta el gran capital hacia la agricultura pero focalizado hacia el mercado externo. La nueva inversión ha venido organizando la producción distribuyendo las tierras entre cultivos con similar rentabilidad y sustituyéndolos entre sí en función a las demandas de los mercados. Los recursos que obtienen las grandes productoras por el auge agro exportador no son distribuidos de manera equitativa con sus trabajadores. A ello contribuye la presencia de un régimen laboral que abarata los costos salariales, mediante la reducción de derechos a las y los trabajadores, y que viene obstaculizando la formación de organizaciones sindicales.</w:t>
      </w:r>
    </w:p>
    <w:p w:rsidR="00D149CA" w:rsidRDefault="00D149CA" w:rsidP="00D149CA">
      <w:pPr>
        <w:spacing w:after="0" w:line="240" w:lineRule="auto"/>
        <w:jc w:val="both"/>
      </w:pPr>
    </w:p>
    <w:p w:rsidR="00C87B29" w:rsidRDefault="00C87B29" w:rsidP="00C87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LEY DISCRIMINATORIA</w:t>
      </w:r>
    </w:p>
    <w:p w:rsidR="00D149CA" w:rsidRDefault="00D149CA" w:rsidP="00C87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Ley es discriminatoria, porque reduce los derechos de las y los trabajadores, a</w:t>
      </w:r>
      <w:r w:rsidRPr="007852A4">
        <w:rPr>
          <w:rFonts w:ascii="Times New Roman" w:hAnsi="Times New Roman" w:cs="Times New Roman"/>
          <w:sz w:val="24"/>
          <w:szCs w:val="24"/>
        </w:rPr>
        <w:t xml:space="preserve"> pesar de que el Perú vive el boom agroexportador, éste no se refleja en mejores condiciones laborales: Predomina la contratación temporal, casi no existen los sindicatos (sólo el 1,3% en el sector agrario) y hay una gran diferencia en la distribución de los beneficios entre los trabajadores (entre los ejecutivos de las agroexportadoras y sus trabajadores hay una distancia salarial entre 31 y 33 veces).</w:t>
      </w:r>
    </w:p>
    <w:p w:rsidR="00C87B29" w:rsidRPr="007852A4" w:rsidRDefault="00C87B29" w:rsidP="00C87B29">
      <w:pPr>
        <w:spacing w:after="0" w:line="240" w:lineRule="auto"/>
        <w:jc w:val="both"/>
        <w:rPr>
          <w:rFonts w:ascii="Times New Roman" w:hAnsi="Times New Roman" w:cs="Times New Roman"/>
          <w:sz w:val="24"/>
          <w:szCs w:val="24"/>
        </w:rPr>
      </w:pPr>
    </w:p>
    <w:p w:rsidR="00BE0A11" w:rsidRPr="00C87B29" w:rsidRDefault="00BE0A11" w:rsidP="00BE0A11">
      <w:pPr>
        <w:spacing w:after="0" w:line="240" w:lineRule="auto"/>
        <w:jc w:val="both"/>
        <w:rPr>
          <w:rFonts w:ascii="Times New Roman" w:hAnsi="Times New Roman" w:cs="Times New Roman"/>
          <w:sz w:val="24"/>
          <w:szCs w:val="24"/>
        </w:rPr>
      </w:pPr>
      <w:r w:rsidRPr="00C87B29">
        <w:rPr>
          <w:rFonts w:ascii="Times New Roman" w:hAnsi="Times New Roman" w:cs="Times New Roman"/>
          <w:sz w:val="24"/>
          <w:szCs w:val="24"/>
        </w:rPr>
        <w:t>Para facilitar las contrataciones en el sector agroexportador el régimen laboral redujo costos a los empresarios, disminuyendo los derechos a las  y los trabajadores y reduciéndoles su aporte a ESSALUD del 9% al 4%. La primera situación estaría generando vacíos en el marco normativo laboral del sector, perjudicando a los trabajadores, en comparación con sus pares del régimen general. Aquí el cuadro comparativo.</w:t>
      </w:r>
    </w:p>
    <w:p w:rsidR="00BE0A11" w:rsidRPr="00C87B29" w:rsidRDefault="00BE0A11" w:rsidP="00BE0A11">
      <w:pPr>
        <w:spacing w:after="0" w:line="240" w:lineRule="auto"/>
        <w:jc w:val="both"/>
        <w:rPr>
          <w:rFonts w:ascii="Times New Roman" w:hAnsi="Times New Roman" w:cs="Times New Roman"/>
          <w:sz w:val="24"/>
          <w:szCs w:val="24"/>
        </w:rPr>
      </w:pPr>
    </w:p>
    <w:p w:rsidR="00BE0A11" w:rsidRPr="00C87B29" w:rsidRDefault="00BE0A11" w:rsidP="00BE0A11">
      <w:pPr>
        <w:spacing w:after="0" w:line="240" w:lineRule="auto"/>
        <w:jc w:val="both"/>
        <w:rPr>
          <w:rFonts w:ascii="Times New Roman" w:hAnsi="Times New Roman" w:cs="Times New Roman"/>
          <w:sz w:val="24"/>
          <w:szCs w:val="24"/>
        </w:rPr>
      </w:pPr>
    </w:p>
    <w:tbl>
      <w:tblPr>
        <w:tblW w:w="0" w:type="auto"/>
        <w:tblInd w:w="144" w:type="dxa"/>
        <w:tblLayout w:type="fixed"/>
        <w:tblCellMar>
          <w:left w:w="0" w:type="dxa"/>
          <w:right w:w="0" w:type="dxa"/>
        </w:tblCellMar>
        <w:tblLook w:val="04A0"/>
      </w:tblPr>
      <w:tblGrid>
        <w:gridCol w:w="2882"/>
        <w:gridCol w:w="2882"/>
        <w:gridCol w:w="2883"/>
      </w:tblGrid>
      <w:tr w:rsidR="00BE0A11" w:rsidRPr="00054630" w:rsidTr="001D180C">
        <w:trPr>
          <w:trHeight w:val="329"/>
        </w:trPr>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1D180C">
            <w:pPr>
              <w:spacing w:after="0" w:line="240" w:lineRule="auto"/>
              <w:jc w:val="center"/>
              <w:rPr>
                <w:rFonts w:ascii="Times New Roman" w:hAnsi="Times New Roman" w:cs="Times New Roman"/>
              </w:rPr>
            </w:pPr>
            <w:r w:rsidRPr="00054630">
              <w:rPr>
                <w:rFonts w:ascii="Times New Roman" w:hAnsi="Times New Roman" w:cs="Times New Roman"/>
              </w:rPr>
              <w:t>Derechos Individuales</w:t>
            </w:r>
          </w:p>
          <w:p w:rsidR="00BE0A11" w:rsidRPr="00054630" w:rsidRDefault="00BE0A11" w:rsidP="001D180C">
            <w:pPr>
              <w:spacing w:after="0" w:line="240" w:lineRule="auto"/>
              <w:jc w:val="center"/>
              <w:rPr>
                <w:rFonts w:ascii="Times New Roman" w:hAnsi="Times New Roman" w:cs="Times New Roman"/>
              </w:rPr>
            </w:pPr>
            <w:r w:rsidRPr="00054630">
              <w:rPr>
                <w:rFonts w:ascii="Times New Roman" w:hAnsi="Times New Roman" w:cs="Times New Roman"/>
              </w:rPr>
              <w:t>de trabajo</w:t>
            </w:r>
          </w:p>
        </w:tc>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1D180C">
            <w:pPr>
              <w:spacing w:after="0" w:line="240" w:lineRule="auto"/>
              <w:jc w:val="center"/>
              <w:rPr>
                <w:rFonts w:ascii="Times New Roman" w:hAnsi="Times New Roman" w:cs="Times New Roman"/>
              </w:rPr>
            </w:pPr>
            <w:r w:rsidRPr="00054630">
              <w:rPr>
                <w:rFonts w:ascii="Times New Roman" w:hAnsi="Times New Roman" w:cs="Times New Roman"/>
              </w:rPr>
              <w:t>Régimen Laboral Agrario</w:t>
            </w:r>
          </w:p>
          <w:p w:rsidR="00BE0A11" w:rsidRPr="00054630" w:rsidRDefault="00BE0A11" w:rsidP="001D180C">
            <w:pPr>
              <w:spacing w:after="0" w:line="240" w:lineRule="auto"/>
              <w:jc w:val="center"/>
              <w:rPr>
                <w:rFonts w:ascii="Times New Roman" w:hAnsi="Times New Roman" w:cs="Times New Roman"/>
              </w:rPr>
            </w:pPr>
            <w:r w:rsidRPr="00054630">
              <w:rPr>
                <w:rFonts w:ascii="Times New Roman" w:hAnsi="Times New Roman" w:cs="Times New Roman"/>
              </w:rPr>
              <w:t>Ley Nº 27360</w:t>
            </w:r>
          </w:p>
        </w:tc>
        <w:tc>
          <w:tcPr>
            <w:tcW w:w="2883"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1D180C">
            <w:pPr>
              <w:spacing w:after="0" w:line="240" w:lineRule="auto"/>
              <w:jc w:val="center"/>
              <w:rPr>
                <w:rFonts w:ascii="Times New Roman" w:hAnsi="Times New Roman" w:cs="Times New Roman"/>
              </w:rPr>
            </w:pPr>
            <w:r w:rsidRPr="00054630">
              <w:rPr>
                <w:rFonts w:ascii="Times New Roman" w:hAnsi="Times New Roman" w:cs="Times New Roman"/>
              </w:rPr>
              <w:t>Régimen Laboral Común</w:t>
            </w:r>
          </w:p>
          <w:p w:rsidR="00BE0A11" w:rsidRPr="00054630" w:rsidRDefault="00BE0A11" w:rsidP="001D180C">
            <w:pPr>
              <w:spacing w:after="0" w:line="240" w:lineRule="auto"/>
              <w:jc w:val="center"/>
              <w:rPr>
                <w:rFonts w:ascii="Times New Roman" w:hAnsi="Times New Roman" w:cs="Times New Roman"/>
              </w:rPr>
            </w:pPr>
            <w:r w:rsidRPr="00054630">
              <w:rPr>
                <w:rFonts w:ascii="Times New Roman" w:hAnsi="Times New Roman" w:cs="Times New Roman"/>
              </w:rPr>
              <w:t>(Decreto Legislativo Nº 728)</w:t>
            </w:r>
          </w:p>
        </w:tc>
      </w:tr>
      <w:tr w:rsidR="00BE0A11" w:rsidRPr="00054630" w:rsidTr="001D180C">
        <w:trPr>
          <w:trHeight w:val="467"/>
        </w:trPr>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Jornada de trabajo </w:t>
            </w:r>
          </w:p>
        </w:tc>
        <w:tc>
          <w:tcPr>
            <w:tcW w:w="2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Puede ser acumulativa. </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8 horas diarias o 48 semanales, horas extras con un máximo de 12 a la semana. </w:t>
            </w:r>
          </w:p>
        </w:tc>
      </w:tr>
      <w:tr w:rsidR="00BE0A11" w:rsidRPr="00054630" w:rsidTr="001D180C">
        <w:trPr>
          <w:trHeight w:val="547"/>
        </w:trPr>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Menor </w:t>
            </w:r>
          </w:p>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remuneración </w:t>
            </w:r>
          </w:p>
        </w:tc>
        <w:tc>
          <w:tcPr>
            <w:tcW w:w="2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Remuneración diaria de  S/.21.46 ($ 8.25)* </w:t>
            </w:r>
          </w:p>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(incluye CTS y gratificaciones) </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Remuneración Mínima Vital: S/. 675  ($ 259.61)* mensual. </w:t>
            </w:r>
          </w:p>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(no incluye CTS ni gratificaciones) </w:t>
            </w:r>
          </w:p>
        </w:tc>
      </w:tr>
      <w:tr w:rsidR="00BE0A11" w:rsidRPr="00054630" w:rsidTr="001D180C">
        <w:trPr>
          <w:trHeight w:val="290"/>
        </w:trPr>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Menos</w:t>
            </w:r>
          </w:p>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vacaciones </w:t>
            </w:r>
          </w:p>
        </w:tc>
        <w:tc>
          <w:tcPr>
            <w:tcW w:w="2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15 días calendario por año completo de servicio. </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30 días naturales por año completo de servicio. </w:t>
            </w:r>
          </w:p>
        </w:tc>
      </w:tr>
      <w:tr w:rsidR="00BE0A11" w:rsidRPr="00054630" w:rsidTr="001D180C">
        <w:trPr>
          <w:trHeight w:val="256"/>
        </w:trPr>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Sin</w:t>
            </w:r>
          </w:p>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gratificaciones legales </w:t>
            </w:r>
          </w:p>
        </w:tc>
        <w:tc>
          <w:tcPr>
            <w:tcW w:w="2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No lo reciben en sueldo adicional, están incluidas en la remuneración diaria. </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Dos remuneraciones al año (15 de julio y 15 de diciembre). </w:t>
            </w:r>
          </w:p>
        </w:tc>
      </w:tr>
      <w:tr w:rsidR="00BE0A11" w:rsidRPr="00054630" w:rsidTr="001D180C">
        <w:trPr>
          <w:trHeight w:val="281"/>
        </w:trPr>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Sin Compensación por Tiempo de Servicio (C.T.S) </w:t>
            </w:r>
          </w:p>
        </w:tc>
        <w:tc>
          <w:tcPr>
            <w:tcW w:w="2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No lo reciben en sueldo adicional, está incluida en la remuneración diaria. </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Una remuneración al año. </w:t>
            </w:r>
          </w:p>
        </w:tc>
      </w:tr>
      <w:tr w:rsidR="00BE0A11" w:rsidRPr="00054630" w:rsidTr="001D180C">
        <w:trPr>
          <w:trHeight w:val="308"/>
        </w:trPr>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Menor  pago por </w:t>
            </w:r>
          </w:p>
          <w:p w:rsidR="00BE0A11" w:rsidRPr="00054630" w:rsidRDefault="00C87B29" w:rsidP="00BD51FF">
            <w:pPr>
              <w:spacing w:after="0" w:line="240" w:lineRule="auto"/>
              <w:jc w:val="both"/>
              <w:rPr>
                <w:rFonts w:ascii="Times New Roman" w:hAnsi="Times New Roman" w:cs="Times New Roman"/>
              </w:rPr>
            </w:pPr>
            <w:r w:rsidRPr="00054630">
              <w:rPr>
                <w:rFonts w:ascii="Times New Roman" w:hAnsi="Times New Roman" w:cs="Times New Roman"/>
              </w:rPr>
              <w:t>sobre tiempo</w:t>
            </w:r>
            <w:r w:rsidR="00BE0A11" w:rsidRPr="00054630">
              <w:rPr>
                <w:rFonts w:ascii="Times New Roman" w:hAnsi="Times New Roman" w:cs="Times New Roman"/>
              </w:rPr>
              <w:t xml:space="preserve"> </w:t>
            </w:r>
          </w:p>
        </w:tc>
        <w:tc>
          <w:tcPr>
            <w:tcW w:w="2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Sólo si pasa el promedio de horas durante todo el contrato. </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Las primeras 2 horas 25% adicional, el resto 35% adicional y domingo 100% adicional. </w:t>
            </w:r>
          </w:p>
        </w:tc>
      </w:tr>
      <w:tr w:rsidR="00BE0A11" w:rsidRPr="00054630" w:rsidTr="001D180C">
        <w:trPr>
          <w:trHeight w:val="118"/>
        </w:trPr>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Menor indemnización por despido arbitrario </w:t>
            </w:r>
          </w:p>
        </w:tc>
        <w:tc>
          <w:tcPr>
            <w:tcW w:w="2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Media remuneración por cada año de servicio más dozavo, con un máximo de seis sueldos. </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Mes y medio de sueldo por año de servicio, con un máximo de doce remuneraciones. </w:t>
            </w:r>
          </w:p>
        </w:tc>
      </w:tr>
      <w:tr w:rsidR="00BE0A11" w:rsidRPr="00054630" w:rsidTr="001D180C">
        <w:trPr>
          <w:trHeight w:val="20"/>
        </w:trPr>
        <w:tc>
          <w:tcPr>
            <w:tcW w:w="288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Seguro de Salud </w:t>
            </w:r>
          </w:p>
        </w:tc>
        <w:tc>
          <w:tcPr>
            <w:tcW w:w="2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 xml:space="preserve">El empleador aporta el 4%. </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0A11" w:rsidRPr="00054630" w:rsidRDefault="00BE0A11" w:rsidP="00BD51FF">
            <w:pPr>
              <w:spacing w:after="0" w:line="240" w:lineRule="auto"/>
              <w:jc w:val="both"/>
              <w:rPr>
                <w:rFonts w:ascii="Times New Roman" w:hAnsi="Times New Roman" w:cs="Times New Roman"/>
              </w:rPr>
            </w:pPr>
            <w:r w:rsidRPr="00054630">
              <w:rPr>
                <w:rFonts w:ascii="Times New Roman" w:hAnsi="Times New Roman" w:cs="Times New Roman"/>
              </w:rPr>
              <w:t>El empleador aporta  el 9</w:t>
            </w:r>
            <w:proofErr w:type="gramStart"/>
            <w:r w:rsidRPr="00054630">
              <w:rPr>
                <w:rFonts w:ascii="Times New Roman" w:hAnsi="Times New Roman" w:cs="Times New Roman"/>
              </w:rPr>
              <w:t>% .</w:t>
            </w:r>
            <w:proofErr w:type="gramEnd"/>
          </w:p>
        </w:tc>
      </w:tr>
    </w:tbl>
    <w:p w:rsidR="00054630" w:rsidRPr="001D180C" w:rsidRDefault="00054630" w:rsidP="00054630">
      <w:pPr>
        <w:spacing w:after="0" w:line="240" w:lineRule="auto"/>
        <w:jc w:val="both"/>
        <w:rPr>
          <w:rFonts w:ascii="Arial" w:hAnsi="Arial" w:cs="Arial"/>
          <w:sz w:val="20"/>
          <w:szCs w:val="20"/>
        </w:rPr>
      </w:pPr>
      <w:r w:rsidRPr="001D180C">
        <w:rPr>
          <w:rFonts w:ascii="Arial" w:hAnsi="Arial" w:cs="Arial"/>
          <w:sz w:val="20"/>
          <w:szCs w:val="20"/>
        </w:rPr>
        <w:t xml:space="preserve">Fuente: </w:t>
      </w:r>
      <w:r w:rsidR="00C71EF7">
        <w:rPr>
          <w:rFonts w:ascii="Arial" w:hAnsi="Arial" w:cs="Arial"/>
          <w:sz w:val="20"/>
          <w:szCs w:val="20"/>
        </w:rPr>
        <w:t>ASOCIACION AURORA VIVAR, Módulo II El régimen Laboral Agrario. Lima, 2010.</w:t>
      </w:r>
    </w:p>
    <w:p w:rsidR="00054630" w:rsidRPr="001D180C" w:rsidRDefault="00054630" w:rsidP="00054630">
      <w:pPr>
        <w:spacing w:after="0" w:line="240" w:lineRule="auto"/>
        <w:jc w:val="both"/>
        <w:rPr>
          <w:rFonts w:ascii="Arial" w:hAnsi="Arial" w:cs="Arial"/>
          <w:sz w:val="20"/>
          <w:szCs w:val="20"/>
        </w:rPr>
      </w:pPr>
      <w:r w:rsidRPr="001D180C">
        <w:rPr>
          <w:rFonts w:ascii="Arial" w:hAnsi="Arial" w:cs="Arial"/>
          <w:sz w:val="20"/>
          <w:szCs w:val="20"/>
        </w:rPr>
        <w:t>* Tipo de cambio s/. 2.60</w:t>
      </w:r>
    </w:p>
    <w:p w:rsidR="00D149CA" w:rsidRPr="00054630" w:rsidRDefault="00D149CA" w:rsidP="00D149CA">
      <w:pPr>
        <w:spacing w:after="0" w:line="240" w:lineRule="auto"/>
        <w:jc w:val="both"/>
        <w:rPr>
          <w:rFonts w:ascii="Arial" w:hAnsi="Arial" w:cs="Arial"/>
          <w:sz w:val="18"/>
          <w:szCs w:val="18"/>
        </w:rPr>
      </w:pPr>
    </w:p>
    <w:p w:rsidR="00F07AF8" w:rsidRPr="00F07AF8" w:rsidRDefault="00AD040A" w:rsidP="00F07AF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s-MX"/>
        </w:rPr>
        <w:t xml:space="preserve">El sector es </w:t>
      </w:r>
      <w:r w:rsidR="00F07AF8" w:rsidRPr="00F07AF8">
        <w:rPr>
          <w:rFonts w:ascii="Times New Roman" w:hAnsi="Times New Roman" w:cs="Times New Roman"/>
          <w:sz w:val="24"/>
          <w:szCs w:val="24"/>
          <w:lang w:val="es-MX"/>
        </w:rPr>
        <w:t>fuente generadora de empleo pero la ley lo hace MAS PRECARIO,  al establece</w:t>
      </w:r>
      <w:r w:rsidR="00F07AF8">
        <w:rPr>
          <w:rFonts w:ascii="Times New Roman" w:hAnsi="Times New Roman" w:cs="Times New Roman"/>
          <w:sz w:val="24"/>
          <w:szCs w:val="24"/>
          <w:lang w:val="es-MX"/>
        </w:rPr>
        <w:t>r</w:t>
      </w:r>
      <w:r w:rsidR="00F07AF8" w:rsidRPr="00F07AF8">
        <w:rPr>
          <w:rFonts w:ascii="Times New Roman" w:hAnsi="Times New Roman" w:cs="Times New Roman"/>
          <w:sz w:val="24"/>
          <w:szCs w:val="24"/>
          <w:lang w:val="es-MX"/>
        </w:rPr>
        <w:t xml:space="preserve"> menores salarios</w:t>
      </w:r>
      <w:r w:rsidR="00F07AF8">
        <w:rPr>
          <w:rFonts w:ascii="Times New Roman" w:hAnsi="Times New Roman" w:cs="Times New Roman"/>
          <w:sz w:val="24"/>
          <w:szCs w:val="24"/>
          <w:lang w:val="es-MX"/>
        </w:rPr>
        <w:t>, menor tiempo de vacaciones, menor</w:t>
      </w:r>
      <w:r w:rsidR="00F07AF8" w:rsidRPr="00F07AF8">
        <w:rPr>
          <w:rFonts w:ascii="Times New Roman" w:hAnsi="Times New Roman" w:cs="Times New Roman"/>
          <w:sz w:val="24"/>
          <w:szCs w:val="24"/>
          <w:lang w:val="es-MX"/>
        </w:rPr>
        <w:t xml:space="preserve"> indemnización por despido arbitrario  y perenniza en</w:t>
      </w:r>
      <w:r w:rsidR="00F07AF8">
        <w:rPr>
          <w:rFonts w:ascii="Times New Roman" w:hAnsi="Times New Roman" w:cs="Times New Roman"/>
          <w:sz w:val="24"/>
          <w:szCs w:val="24"/>
          <w:lang w:val="es-MX"/>
        </w:rPr>
        <w:t xml:space="preserve"> la temporalidad a trabajadoras/es</w:t>
      </w:r>
      <w:r w:rsidR="00F07AF8" w:rsidRPr="00F07AF8">
        <w:rPr>
          <w:rFonts w:ascii="Times New Roman" w:hAnsi="Times New Roman" w:cs="Times New Roman"/>
          <w:sz w:val="24"/>
          <w:szCs w:val="24"/>
          <w:lang w:val="es-MX"/>
        </w:rPr>
        <w:t xml:space="preserve"> que podrían gozar de un trabajo estable.</w:t>
      </w:r>
    </w:p>
    <w:p w:rsidR="00C87B29" w:rsidRDefault="00C87B29" w:rsidP="0042191D">
      <w:pPr>
        <w:spacing w:after="0" w:line="240" w:lineRule="auto"/>
        <w:jc w:val="both"/>
        <w:rPr>
          <w:rFonts w:ascii="Times New Roman" w:hAnsi="Times New Roman" w:cs="Times New Roman"/>
          <w:sz w:val="24"/>
          <w:szCs w:val="24"/>
        </w:rPr>
      </w:pPr>
    </w:p>
    <w:p w:rsidR="00054630" w:rsidRDefault="00054630" w:rsidP="0042191D">
      <w:pPr>
        <w:spacing w:after="0" w:line="240" w:lineRule="auto"/>
        <w:jc w:val="both"/>
        <w:rPr>
          <w:rFonts w:ascii="Times New Roman" w:hAnsi="Times New Roman" w:cs="Times New Roman"/>
          <w:sz w:val="24"/>
          <w:szCs w:val="24"/>
        </w:rPr>
      </w:pPr>
    </w:p>
    <w:p w:rsidR="00F90E8C" w:rsidRDefault="00F90E8C" w:rsidP="0042191D">
      <w:pPr>
        <w:spacing w:after="0" w:line="240" w:lineRule="auto"/>
        <w:jc w:val="both"/>
        <w:rPr>
          <w:rFonts w:ascii="Times New Roman" w:hAnsi="Times New Roman" w:cs="Times New Roman"/>
          <w:sz w:val="24"/>
          <w:szCs w:val="24"/>
        </w:rPr>
      </w:pPr>
    </w:p>
    <w:p w:rsidR="00F90E8C" w:rsidRDefault="00F90E8C" w:rsidP="0042191D">
      <w:pPr>
        <w:spacing w:after="0" w:line="240" w:lineRule="auto"/>
        <w:jc w:val="both"/>
        <w:rPr>
          <w:rFonts w:ascii="Times New Roman" w:hAnsi="Times New Roman" w:cs="Times New Roman"/>
          <w:sz w:val="24"/>
          <w:szCs w:val="24"/>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80"/>
        <w:gridCol w:w="1420"/>
        <w:gridCol w:w="2120"/>
        <w:gridCol w:w="1700"/>
        <w:gridCol w:w="1700"/>
      </w:tblGrid>
      <w:tr w:rsidR="00054630" w:rsidRPr="00054630" w:rsidTr="001D180C">
        <w:trPr>
          <w:trHeight w:val="854"/>
          <w:jc w:val="center"/>
        </w:trPr>
        <w:tc>
          <w:tcPr>
            <w:tcW w:w="158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b/>
                <w:bCs/>
                <w:sz w:val="24"/>
                <w:szCs w:val="24"/>
                <w:lang w:val="es-PE"/>
              </w:rPr>
              <w:lastRenderedPageBreak/>
              <w:t>Empresa</w:t>
            </w:r>
          </w:p>
        </w:tc>
        <w:tc>
          <w:tcPr>
            <w:tcW w:w="142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b/>
                <w:bCs/>
                <w:sz w:val="24"/>
                <w:szCs w:val="24"/>
                <w:lang w:val="es-PE"/>
              </w:rPr>
              <w:t>Número de trabajadores obreros</w:t>
            </w:r>
          </w:p>
        </w:tc>
        <w:tc>
          <w:tcPr>
            <w:tcW w:w="212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b/>
                <w:bCs/>
                <w:sz w:val="24"/>
                <w:szCs w:val="24"/>
                <w:lang w:val="es-PE"/>
              </w:rPr>
              <w:t>Gastos del personal obrero (S/)</w:t>
            </w:r>
          </w:p>
        </w:tc>
        <w:tc>
          <w:tcPr>
            <w:tcW w:w="170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b/>
                <w:bCs/>
                <w:sz w:val="24"/>
                <w:szCs w:val="24"/>
                <w:lang w:val="es-PE"/>
              </w:rPr>
              <w:t>Total de costos y gastos      (S/)</w:t>
            </w:r>
          </w:p>
        </w:tc>
        <w:tc>
          <w:tcPr>
            <w:tcW w:w="170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b/>
                <w:bCs/>
                <w:sz w:val="24"/>
                <w:szCs w:val="24"/>
                <w:lang w:val="es-PE"/>
              </w:rPr>
              <w:t>Ventas netas (S/)</w:t>
            </w:r>
          </w:p>
        </w:tc>
      </w:tr>
      <w:tr w:rsidR="00054630" w:rsidRPr="00054630" w:rsidTr="001D180C">
        <w:trPr>
          <w:trHeight w:val="528"/>
          <w:jc w:val="center"/>
        </w:trPr>
        <w:tc>
          <w:tcPr>
            <w:tcW w:w="158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es-PE"/>
              </w:rPr>
              <w:t xml:space="preserve">Sociedad Agrícola </w:t>
            </w:r>
            <w:r w:rsidRPr="00054630">
              <w:rPr>
                <w:rFonts w:ascii="Times New Roman" w:hAnsi="Times New Roman" w:cs="Times New Roman"/>
                <w:b/>
                <w:bCs/>
                <w:sz w:val="24"/>
                <w:szCs w:val="24"/>
                <w:lang w:val="es-PE"/>
              </w:rPr>
              <w:t>Virú</w:t>
            </w:r>
            <w:r>
              <w:rPr>
                <w:rFonts w:ascii="Times New Roman" w:hAnsi="Times New Roman" w:cs="Times New Roman"/>
                <w:b/>
                <w:bCs/>
                <w:sz w:val="24"/>
                <w:szCs w:val="24"/>
                <w:lang w:val="es-PE"/>
              </w:rPr>
              <w:t xml:space="preserve"> S.A</w:t>
            </w:r>
          </w:p>
        </w:tc>
        <w:tc>
          <w:tcPr>
            <w:tcW w:w="142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sz w:val="24"/>
                <w:szCs w:val="24"/>
                <w:lang w:val="es-PE"/>
              </w:rPr>
              <w:t>10,953</w:t>
            </w:r>
          </w:p>
        </w:tc>
        <w:tc>
          <w:tcPr>
            <w:tcW w:w="212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sz w:val="24"/>
                <w:szCs w:val="24"/>
                <w:lang w:val="es-PE"/>
              </w:rPr>
              <w:t>99,935,586</w:t>
            </w:r>
          </w:p>
        </w:tc>
        <w:tc>
          <w:tcPr>
            <w:tcW w:w="170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sz w:val="24"/>
                <w:szCs w:val="24"/>
                <w:lang w:val="es-PE"/>
              </w:rPr>
              <w:t>278,187,022</w:t>
            </w:r>
          </w:p>
        </w:tc>
        <w:tc>
          <w:tcPr>
            <w:tcW w:w="170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sz w:val="24"/>
                <w:szCs w:val="24"/>
                <w:lang w:val="es-PE"/>
              </w:rPr>
              <w:t>269,352,803</w:t>
            </w:r>
          </w:p>
        </w:tc>
      </w:tr>
      <w:tr w:rsidR="00054630" w:rsidRPr="00054630" w:rsidTr="001D180C">
        <w:trPr>
          <w:trHeight w:val="394"/>
          <w:jc w:val="center"/>
        </w:trPr>
        <w:tc>
          <w:tcPr>
            <w:tcW w:w="158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b/>
                <w:bCs/>
                <w:sz w:val="24"/>
                <w:szCs w:val="24"/>
                <w:lang w:val="es-PE"/>
              </w:rPr>
              <w:t>CAMPOSOL</w:t>
            </w:r>
          </w:p>
        </w:tc>
        <w:tc>
          <w:tcPr>
            <w:tcW w:w="142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sz w:val="24"/>
                <w:szCs w:val="24"/>
                <w:lang w:val="es-PE"/>
              </w:rPr>
              <w:t>6,890</w:t>
            </w:r>
          </w:p>
        </w:tc>
        <w:tc>
          <w:tcPr>
            <w:tcW w:w="212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sz w:val="24"/>
                <w:szCs w:val="24"/>
                <w:lang w:val="es-PE"/>
              </w:rPr>
              <w:t>75,160,505</w:t>
            </w:r>
          </w:p>
        </w:tc>
        <w:tc>
          <w:tcPr>
            <w:tcW w:w="170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sz w:val="24"/>
                <w:szCs w:val="24"/>
                <w:lang w:val="es-PE"/>
              </w:rPr>
              <w:t>383,856,129</w:t>
            </w:r>
          </w:p>
        </w:tc>
        <w:tc>
          <w:tcPr>
            <w:tcW w:w="1700" w:type="dxa"/>
            <w:shd w:val="clear" w:color="auto" w:fill="auto"/>
            <w:tcMar>
              <w:top w:w="20" w:type="dxa"/>
              <w:left w:w="20" w:type="dxa"/>
              <w:bottom w:w="0" w:type="dxa"/>
              <w:right w:w="20" w:type="dxa"/>
            </w:tcMar>
            <w:hideMark/>
          </w:tcPr>
          <w:p w:rsidR="00BC3FFD" w:rsidRPr="00054630" w:rsidRDefault="00054630" w:rsidP="00054630">
            <w:pPr>
              <w:spacing w:after="0" w:line="240" w:lineRule="auto"/>
              <w:jc w:val="center"/>
              <w:rPr>
                <w:rFonts w:ascii="Times New Roman" w:hAnsi="Times New Roman" w:cs="Times New Roman"/>
                <w:sz w:val="24"/>
                <w:szCs w:val="24"/>
              </w:rPr>
            </w:pPr>
            <w:r w:rsidRPr="00054630">
              <w:rPr>
                <w:rFonts w:ascii="Times New Roman" w:hAnsi="Times New Roman" w:cs="Times New Roman"/>
                <w:sz w:val="24"/>
                <w:szCs w:val="24"/>
                <w:lang w:val="es-PE"/>
              </w:rPr>
              <w:t>350,493,496</w:t>
            </w:r>
          </w:p>
        </w:tc>
      </w:tr>
    </w:tbl>
    <w:p w:rsidR="00054630" w:rsidRPr="001D180C" w:rsidRDefault="00054630" w:rsidP="00054630">
      <w:pPr>
        <w:jc w:val="both"/>
        <w:rPr>
          <w:rFonts w:ascii="Arial" w:hAnsi="Arial" w:cs="Arial"/>
          <w:sz w:val="20"/>
          <w:szCs w:val="20"/>
        </w:rPr>
      </w:pPr>
      <w:r w:rsidRPr="001D180C">
        <w:rPr>
          <w:rFonts w:ascii="Arial" w:hAnsi="Arial" w:cs="Arial"/>
          <w:sz w:val="20"/>
          <w:szCs w:val="20"/>
          <w:lang w:val="es-PE"/>
        </w:rPr>
        <w:t xml:space="preserve">Fuente: Ministerio de Trabajo y Promoción del Empleo. Dictámenes Económico- Laborales, N° 075-2010-MTPE/2/9.3 y N° 062-2010-MTPE/2/9.3 </w:t>
      </w:r>
    </w:p>
    <w:p w:rsidR="00054630" w:rsidRDefault="00054630" w:rsidP="0042191D">
      <w:pPr>
        <w:spacing w:after="0" w:line="240" w:lineRule="auto"/>
        <w:jc w:val="both"/>
        <w:rPr>
          <w:rFonts w:ascii="Times New Roman" w:hAnsi="Times New Roman" w:cs="Times New Roman"/>
          <w:sz w:val="24"/>
          <w:szCs w:val="24"/>
        </w:rPr>
      </w:pPr>
    </w:p>
    <w:p w:rsidR="00054630" w:rsidRDefault="00054630" w:rsidP="0042191D">
      <w:pPr>
        <w:spacing w:after="0" w:line="240" w:lineRule="auto"/>
        <w:jc w:val="both"/>
        <w:rPr>
          <w:rFonts w:ascii="Times New Roman" w:hAnsi="Times New Roman" w:cs="Times New Roman"/>
          <w:sz w:val="24"/>
          <w:szCs w:val="24"/>
        </w:rPr>
      </w:pPr>
      <w:r w:rsidRPr="00054630">
        <w:rPr>
          <w:rFonts w:ascii="Times New Roman" w:hAnsi="Times New Roman" w:cs="Times New Roman"/>
          <w:noProof/>
          <w:sz w:val="24"/>
          <w:szCs w:val="24"/>
          <w:lang w:eastAsia="es-ES"/>
        </w:rPr>
        <w:drawing>
          <wp:inline distT="0" distB="0" distL="0" distR="0">
            <wp:extent cx="5400040" cy="3126339"/>
            <wp:effectExtent l="19050" t="0" r="1016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4630" w:rsidRDefault="00054630" w:rsidP="0042191D">
      <w:pPr>
        <w:spacing w:after="0" w:line="240" w:lineRule="auto"/>
        <w:jc w:val="both"/>
        <w:rPr>
          <w:rFonts w:ascii="Times New Roman" w:hAnsi="Times New Roman" w:cs="Times New Roman"/>
          <w:sz w:val="24"/>
          <w:szCs w:val="24"/>
        </w:rPr>
      </w:pPr>
    </w:p>
    <w:p w:rsidR="00054630" w:rsidRDefault="00054630" w:rsidP="0042191D">
      <w:pPr>
        <w:spacing w:after="0" w:line="240" w:lineRule="auto"/>
        <w:jc w:val="both"/>
        <w:rPr>
          <w:rFonts w:ascii="Times New Roman" w:hAnsi="Times New Roman" w:cs="Times New Roman"/>
          <w:sz w:val="24"/>
          <w:szCs w:val="24"/>
        </w:rPr>
      </w:pPr>
    </w:p>
    <w:p w:rsidR="00054630" w:rsidRPr="00054630" w:rsidRDefault="00054630" w:rsidP="0005463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s-PE"/>
        </w:rPr>
        <w:t>Fuente: MTPE.</w:t>
      </w:r>
      <w:r w:rsidRPr="00054630">
        <w:rPr>
          <w:rFonts w:ascii="Times New Roman" w:hAnsi="Times New Roman" w:cs="Times New Roman"/>
          <w:sz w:val="24"/>
          <w:szCs w:val="24"/>
          <w:lang w:val="es-PE"/>
        </w:rPr>
        <w:t xml:space="preserve"> Dictámenes Económico- Laborales, N° 075-2010-MTPE/2/9.3 y N° 062-2010-MTPE/2/9.3 </w:t>
      </w:r>
    </w:p>
    <w:p w:rsidR="00054630" w:rsidRDefault="00054630" w:rsidP="0042191D">
      <w:pPr>
        <w:spacing w:after="0" w:line="240" w:lineRule="auto"/>
        <w:jc w:val="both"/>
        <w:rPr>
          <w:rFonts w:ascii="Times New Roman" w:hAnsi="Times New Roman" w:cs="Times New Roman"/>
          <w:sz w:val="24"/>
          <w:szCs w:val="24"/>
        </w:rPr>
      </w:pPr>
    </w:p>
    <w:p w:rsidR="00054630" w:rsidRDefault="00054630" w:rsidP="0042191D">
      <w:pPr>
        <w:spacing w:after="0" w:line="240" w:lineRule="auto"/>
        <w:jc w:val="both"/>
        <w:rPr>
          <w:rFonts w:ascii="Times New Roman" w:hAnsi="Times New Roman" w:cs="Times New Roman"/>
          <w:sz w:val="24"/>
          <w:szCs w:val="24"/>
        </w:rPr>
      </w:pPr>
    </w:p>
    <w:p w:rsidR="00C87B29" w:rsidRDefault="00C87B29" w:rsidP="00421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CONTRATOS INTERMITENTES</w:t>
      </w:r>
    </w:p>
    <w:p w:rsidR="0042191D" w:rsidRPr="00C87B29" w:rsidRDefault="0042191D" w:rsidP="00421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Acerca de los contratos laborales</w:t>
      </w:r>
      <w:r w:rsidRPr="00C87B29">
        <w:rPr>
          <w:rFonts w:ascii="Times New Roman" w:hAnsi="Times New Roman" w:cs="Times New Roman"/>
          <w:sz w:val="24"/>
          <w:szCs w:val="24"/>
        </w:rPr>
        <w:t>, de acuerdo a la información de la planilla electrónica en el Ministerio de Trabajo y Promoción del Empleo (MTPE) a junio de 2009 se revela el predominio de la contratación temporal por sobre la contratación indefinida en el sector agrícola y dentro de la contratación temporal el alto número de contratos intermitentes, que según la ley es aquel contrato celebrado entre un empleador y un trabajador, para cubrir las necesidades de las actividades de la empresa que por su naturaleza son permanentes pero discontinuas. Sin embargo, la producción de varios de los productos agrícolas como es el caso de los espárragos es permanente, durante todo el año y no existe discontinuidad.</w:t>
      </w:r>
    </w:p>
    <w:p w:rsidR="000357D9" w:rsidRDefault="000357D9" w:rsidP="00A30A90">
      <w:pPr>
        <w:autoSpaceDE w:val="0"/>
        <w:autoSpaceDN w:val="0"/>
        <w:adjustRightInd w:val="0"/>
        <w:spacing w:after="0" w:line="240" w:lineRule="auto"/>
        <w:jc w:val="both"/>
        <w:rPr>
          <w:rFonts w:ascii="Times New Roman" w:hAnsi="Times New Roman" w:cs="Times New Roman"/>
          <w:sz w:val="24"/>
          <w:szCs w:val="24"/>
        </w:rPr>
      </w:pPr>
    </w:p>
    <w:p w:rsidR="00C87B29" w:rsidRDefault="00C87B29" w:rsidP="00A30A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TRABAJADORAS/ES SIN SINDICATOS</w:t>
      </w:r>
    </w:p>
    <w:p w:rsidR="00C87B29" w:rsidRPr="00C87B29" w:rsidRDefault="00C87B29" w:rsidP="00C87B29">
      <w:pPr>
        <w:spacing w:after="0" w:line="240" w:lineRule="auto"/>
        <w:jc w:val="both"/>
        <w:rPr>
          <w:rFonts w:ascii="Times New Roman" w:hAnsi="Times New Roman" w:cs="Times New Roman"/>
          <w:sz w:val="24"/>
          <w:szCs w:val="24"/>
        </w:rPr>
      </w:pPr>
      <w:r w:rsidRPr="00C87B29">
        <w:rPr>
          <w:rFonts w:ascii="Times New Roman" w:hAnsi="Times New Roman" w:cs="Times New Roman"/>
          <w:sz w:val="24"/>
          <w:szCs w:val="24"/>
        </w:rPr>
        <w:t xml:space="preserve">Una condición clave en el concepto del trabajo decente es la dimensión de diálogo social: es decir a la presencia de sindicatos y negociación colectiva. Esta última es muy relevante en tanto complementa a la legislación laboral en términos del mejoramiento de las condiciones laborales de las y los trabajadores. </w:t>
      </w:r>
    </w:p>
    <w:p w:rsidR="00C87B29" w:rsidRPr="00C87B29" w:rsidRDefault="00C87B29" w:rsidP="00C87B29">
      <w:pPr>
        <w:spacing w:after="0" w:line="240" w:lineRule="auto"/>
        <w:jc w:val="both"/>
        <w:rPr>
          <w:rFonts w:ascii="Times New Roman" w:hAnsi="Times New Roman" w:cs="Times New Roman"/>
          <w:sz w:val="24"/>
          <w:szCs w:val="24"/>
        </w:rPr>
      </w:pPr>
    </w:p>
    <w:p w:rsidR="00C87B29" w:rsidRPr="00C87B29" w:rsidRDefault="00C87B29" w:rsidP="00C87B29">
      <w:pPr>
        <w:spacing w:after="0" w:line="240" w:lineRule="auto"/>
        <w:jc w:val="both"/>
        <w:rPr>
          <w:rFonts w:ascii="Times New Roman" w:hAnsi="Times New Roman" w:cs="Times New Roman"/>
          <w:sz w:val="24"/>
          <w:szCs w:val="24"/>
        </w:rPr>
      </w:pPr>
      <w:r w:rsidRPr="00C87B29">
        <w:rPr>
          <w:rFonts w:ascii="Times New Roman" w:hAnsi="Times New Roman" w:cs="Times New Roman"/>
          <w:sz w:val="24"/>
          <w:szCs w:val="24"/>
        </w:rPr>
        <w:t>Al respecto, se ha encontrado que más del 80% de los trabajadores y trabajadoras del agro se localiza en empresas de más de 20 trabajadores. Sin embargo, cumpliéndose esa condición necesaria para la sindicalización, en lo más mínimo ella se refleja en el resultado final. En el 2008, de 97,337 sindicalizados registrados en la planilla electrónica, a nivel nacional apenas 2,367 correspondían al sector agrícola.</w:t>
      </w:r>
      <w:r w:rsidR="00ED7D57">
        <w:rPr>
          <w:rFonts w:ascii="Times New Roman" w:hAnsi="Times New Roman" w:cs="Times New Roman"/>
          <w:sz w:val="24"/>
          <w:szCs w:val="24"/>
        </w:rPr>
        <w:t xml:space="preserve"> Uno de los factores es la permanente campaña de amedrentamiento de los empresarios ante las posibilidades de organización sindical.</w:t>
      </w:r>
    </w:p>
    <w:p w:rsidR="00C87B29" w:rsidRPr="00C87B29" w:rsidRDefault="00C87B29" w:rsidP="00A30A90">
      <w:pPr>
        <w:autoSpaceDE w:val="0"/>
        <w:autoSpaceDN w:val="0"/>
        <w:adjustRightInd w:val="0"/>
        <w:spacing w:after="0" w:line="240" w:lineRule="auto"/>
        <w:jc w:val="both"/>
        <w:rPr>
          <w:rFonts w:ascii="Times New Roman" w:hAnsi="Times New Roman" w:cs="Times New Roman"/>
          <w:sz w:val="24"/>
          <w:szCs w:val="24"/>
        </w:rPr>
      </w:pPr>
    </w:p>
    <w:p w:rsidR="000357D9" w:rsidRDefault="000357D9" w:rsidP="00A30A90">
      <w:pPr>
        <w:autoSpaceDE w:val="0"/>
        <w:autoSpaceDN w:val="0"/>
        <w:adjustRightInd w:val="0"/>
        <w:spacing w:after="0" w:line="240" w:lineRule="auto"/>
        <w:jc w:val="both"/>
        <w:rPr>
          <w:rFonts w:ascii="Times New Roman" w:hAnsi="Times New Roman" w:cs="Times New Roman"/>
          <w:sz w:val="24"/>
          <w:szCs w:val="24"/>
        </w:rPr>
      </w:pPr>
    </w:p>
    <w:p w:rsidR="00054630" w:rsidRPr="00054630" w:rsidRDefault="00054630" w:rsidP="00A30A90">
      <w:pPr>
        <w:autoSpaceDE w:val="0"/>
        <w:autoSpaceDN w:val="0"/>
        <w:adjustRightInd w:val="0"/>
        <w:spacing w:after="0" w:line="240" w:lineRule="auto"/>
        <w:jc w:val="both"/>
        <w:rPr>
          <w:rFonts w:ascii="Times New Roman" w:hAnsi="Times New Roman" w:cs="Times New Roman"/>
          <w:sz w:val="24"/>
          <w:szCs w:val="24"/>
        </w:rPr>
      </w:pPr>
      <w:r w:rsidRPr="00054630">
        <w:rPr>
          <w:rFonts w:ascii="Times New Roman" w:hAnsi="Times New Roman" w:cs="Times New Roman"/>
          <w:sz w:val="24"/>
          <w:szCs w:val="24"/>
        </w:rPr>
        <w:t xml:space="preserve">Si bien es cierto, que en el segundo semestre del año pasado, es decir en la primera legislatura del actual gobierno se presentaron cuatro propuestas legislativas para modificar el régimen laboral agrario, así como se discutió en la Comisión de Trabajo y Seguridad Social, aprobándose una de las propuestas, esto no paso al pleno, por la presión de los propios empresarios. Es decir la norma sigue vigente. </w:t>
      </w:r>
    </w:p>
    <w:p w:rsidR="00B21A0D" w:rsidRDefault="00B21A0D" w:rsidP="00B21A0D">
      <w:pPr>
        <w:autoSpaceDE w:val="0"/>
        <w:autoSpaceDN w:val="0"/>
        <w:adjustRightInd w:val="0"/>
        <w:spacing w:after="0" w:line="240" w:lineRule="auto"/>
        <w:jc w:val="both"/>
        <w:rPr>
          <w:rFonts w:ascii="Times New Roman" w:hAnsi="Times New Roman" w:cs="Times New Roman"/>
          <w:color w:val="00B050"/>
          <w:sz w:val="24"/>
          <w:szCs w:val="24"/>
        </w:rPr>
      </w:pPr>
    </w:p>
    <w:p w:rsidR="00BC3FFD" w:rsidRPr="00B21A0D" w:rsidRDefault="00964BAD" w:rsidP="00B21A0D">
      <w:pPr>
        <w:autoSpaceDE w:val="0"/>
        <w:autoSpaceDN w:val="0"/>
        <w:adjustRightInd w:val="0"/>
        <w:spacing w:after="0" w:line="240" w:lineRule="auto"/>
        <w:jc w:val="both"/>
        <w:rPr>
          <w:rFonts w:ascii="Times New Roman" w:hAnsi="Times New Roman" w:cs="Times New Roman"/>
          <w:sz w:val="24"/>
          <w:szCs w:val="24"/>
        </w:rPr>
      </w:pPr>
      <w:r w:rsidRPr="00B21A0D">
        <w:rPr>
          <w:rFonts w:ascii="Times New Roman" w:hAnsi="Times New Roman" w:cs="Times New Roman"/>
          <w:sz w:val="24"/>
          <w:szCs w:val="24"/>
          <w:lang w:val="es-PE"/>
        </w:rPr>
        <w:t>Una mejora sostenible en el bienestar de la población tiene que asentarse en la promoción de actividades que faciliten la generación de trabajo decente, de empleo con ingresos adecuados. Ello supone avanzar, en paralelo, en aumentar las ganancias de productividad y de competitividad de las empresas y ramas de producción junto con la mejora de las condiciones laborales y salariales de los trabajadores.</w:t>
      </w:r>
      <w:r w:rsidR="00B21A0D">
        <w:rPr>
          <w:rStyle w:val="Refdenotaalpie"/>
          <w:rFonts w:ascii="Times New Roman" w:hAnsi="Times New Roman" w:cs="Times New Roman"/>
          <w:sz w:val="24"/>
          <w:szCs w:val="24"/>
          <w:lang w:val="es-PE"/>
        </w:rPr>
        <w:footnoteReference w:id="2"/>
      </w:r>
    </w:p>
    <w:p w:rsidR="00B21A0D" w:rsidRPr="00B21A0D" w:rsidRDefault="00B21A0D" w:rsidP="00B21A0D">
      <w:pPr>
        <w:autoSpaceDE w:val="0"/>
        <w:autoSpaceDN w:val="0"/>
        <w:adjustRightInd w:val="0"/>
        <w:spacing w:after="0" w:line="240" w:lineRule="auto"/>
        <w:jc w:val="both"/>
        <w:rPr>
          <w:rFonts w:ascii="Times New Roman" w:hAnsi="Times New Roman" w:cs="Times New Roman"/>
          <w:sz w:val="24"/>
          <w:szCs w:val="24"/>
        </w:rPr>
      </w:pPr>
    </w:p>
    <w:p w:rsidR="00BC3FFD" w:rsidRPr="00B21A0D" w:rsidRDefault="00B21A0D" w:rsidP="00B21A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s-PE"/>
        </w:rPr>
        <w:t>E</w:t>
      </w:r>
      <w:r w:rsidR="00964BAD" w:rsidRPr="00B21A0D">
        <w:rPr>
          <w:rFonts w:ascii="Times New Roman" w:hAnsi="Times New Roman" w:cs="Times New Roman"/>
          <w:sz w:val="24"/>
          <w:szCs w:val="24"/>
          <w:lang w:val="es-PE"/>
        </w:rPr>
        <w:t>l rendimiento del espárrago peruano es mucho más alto que la media mundial ¿por qué ello no facilita que se mejoren los ingresos de quienes participan con su trabajo en dicha tarea? Se hace necesario el cambio de l</w:t>
      </w:r>
      <w:r>
        <w:rPr>
          <w:rFonts w:ascii="Times New Roman" w:hAnsi="Times New Roman" w:cs="Times New Roman"/>
          <w:sz w:val="24"/>
          <w:szCs w:val="24"/>
          <w:lang w:val="es-PE"/>
        </w:rPr>
        <w:t xml:space="preserve">a ecuación: Rendimientos altos </w:t>
      </w:r>
      <w:r w:rsidR="00964BAD" w:rsidRPr="00B21A0D">
        <w:rPr>
          <w:rFonts w:ascii="Times New Roman" w:hAnsi="Times New Roman" w:cs="Times New Roman"/>
          <w:sz w:val="24"/>
          <w:szCs w:val="24"/>
          <w:lang w:val="es-PE"/>
        </w:rPr>
        <w:t xml:space="preserve">con salarios bajos </w:t>
      </w:r>
      <w:r>
        <w:rPr>
          <w:rFonts w:ascii="Times New Roman" w:hAnsi="Times New Roman" w:cs="Times New Roman"/>
          <w:sz w:val="24"/>
          <w:szCs w:val="24"/>
          <w:lang w:val="es-PE"/>
        </w:rPr>
        <w:t>y sin trabajo digno por Rendimientos altos, Salarios Altos y Trabajo Digno.</w:t>
      </w:r>
    </w:p>
    <w:p w:rsidR="00054630" w:rsidRDefault="00054630" w:rsidP="00A30A90">
      <w:pPr>
        <w:autoSpaceDE w:val="0"/>
        <w:autoSpaceDN w:val="0"/>
        <w:adjustRightInd w:val="0"/>
        <w:spacing w:after="0" w:line="240" w:lineRule="auto"/>
        <w:jc w:val="both"/>
        <w:rPr>
          <w:rFonts w:ascii="Times New Roman" w:hAnsi="Times New Roman" w:cs="Times New Roman"/>
          <w:color w:val="00B050"/>
          <w:sz w:val="24"/>
          <w:szCs w:val="24"/>
        </w:rPr>
      </w:pPr>
    </w:p>
    <w:p w:rsidR="00F90E8C" w:rsidRDefault="00F90E8C" w:rsidP="00A30A90">
      <w:pPr>
        <w:autoSpaceDE w:val="0"/>
        <w:autoSpaceDN w:val="0"/>
        <w:adjustRightInd w:val="0"/>
        <w:spacing w:after="0" w:line="240" w:lineRule="auto"/>
        <w:jc w:val="both"/>
        <w:rPr>
          <w:rFonts w:ascii="Times New Roman" w:hAnsi="Times New Roman" w:cs="Times New Roman"/>
          <w:color w:val="00B050"/>
          <w:sz w:val="24"/>
          <w:szCs w:val="24"/>
        </w:rPr>
      </w:pPr>
    </w:p>
    <w:p w:rsidR="00F90E8C" w:rsidRDefault="00F90E8C" w:rsidP="00F90E8C">
      <w:pPr>
        <w:autoSpaceDE w:val="0"/>
        <w:autoSpaceDN w:val="0"/>
        <w:adjustRightInd w:val="0"/>
        <w:spacing w:after="0" w:line="24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w:t>
      </w:r>
    </w:p>
    <w:sectPr w:rsidR="00F90E8C" w:rsidSect="00DF3D0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8D7" w:rsidRDefault="007E38D7" w:rsidP="00A30A90">
      <w:pPr>
        <w:spacing w:after="0" w:line="240" w:lineRule="auto"/>
      </w:pPr>
      <w:r>
        <w:separator/>
      </w:r>
    </w:p>
  </w:endnote>
  <w:endnote w:type="continuationSeparator" w:id="0">
    <w:p w:rsidR="007E38D7" w:rsidRDefault="007E38D7" w:rsidP="00A30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8D7" w:rsidRDefault="007E38D7" w:rsidP="00A30A90">
      <w:pPr>
        <w:spacing w:after="0" w:line="240" w:lineRule="auto"/>
      </w:pPr>
      <w:r>
        <w:separator/>
      </w:r>
    </w:p>
  </w:footnote>
  <w:footnote w:type="continuationSeparator" w:id="0">
    <w:p w:rsidR="007E38D7" w:rsidRDefault="007E38D7" w:rsidP="00A30A90">
      <w:pPr>
        <w:spacing w:after="0" w:line="240" w:lineRule="auto"/>
      </w:pPr>
      <w:r>
        <w:continuationSeparator/>
      </w:r>
    </w:p>
  </w:footnote>
  <w:footnote w:id="1">
    <w:p w:rsidR="00054630" w:rsidRPr="00054630" w:rsidRDefault="00054630" w:rsidP="00054630">
      <w:pPr>
        <w:spacing w:after="0" w:line="240" w:lineRule="auto"/>
        <w:jc w:val="both"/>
        <w:rPr>
          <w:rFonts w:ascii="Arial" w:hAnsi="Arial" w:cs="Arial"/>
          <w:sz w:val="20"/>
          <w:szCs w:val="20"/>
        </w:rPr>
      </w:pPr>
      <w:r w:rsidRPr="00054630">
        <w:rPr>
          <w:rStyle w:val="Refdenotaalpie"/>
          <w:rFonts w:ascii="Arial" w:hAnsi="Arial" w:cs="Arial"/>
          <w:sz w:val="20"/>
          <w:szCs w:val="20"/>
        </w:rPr>
        <w:footnoteRef/>
      </w:r>
      <w:r w:rsidRPr="00054630">
        <w:rPr>
          <w:rFonts w:ascii="Arial" w:hAnsi="Arial" w:cs="Arial"/>
          <w:sz w:val="20"/>
          <w:szCs w:val="20"/>
        </w:rPr>
        <w:t xml:space="preserve"> </w:t>
      </w:r>
      <w:r>
        <w:rPr>
          <w:rFonts w:ascii="Arial" w:hAnsi="Arial" w:cs="Arial"/>
          <w:sz w:val="20"/>
          <w:szCs w:val="20"/>
        </w:rPr>
        <w:t xml:space="preserve">RED GE, CEPES, ASOCIACION AURORA VIVAR,  CODEHICA. </w:t>
      </w:r>
      <w:r w:rsidRPr="00054630">
        <w:rPr>
          <w:rFonts w:ascii="Arial" w:hAnsi="Arial" w:cs="Arial"/>
          <w:sz w:val="20"/>
          <w:szCs w:val="20"/>
        </w:rPr>
        <w:t xml:space="preserve">Agenda Urgente para el trabajo decente en la </w:t>
      </w:r>
      <w:proofErr w:type="spellStart"/>
      <w:r w:rsidRPr="00054630">
        <w:rPr>
          <w:rFonts w:ascii="Arial" w:hAnsi="Arial" w:cs="Arial"/>
          <w:sz w:val="20"/>
          <w:szCs w:val="20"/>
        </w:rPr>
        <w:t>Agroexportación</w:t>
      </w:r>
      <w:proofErr w:type="spellEnd"/>
      <w:r>
        <w:rPr>
          <w:rFonts w:ascii="Arial" w:hAnsi="Arial" w:cs="Arial"/>
          <w:sz w:val="20"/>
          <w:szCs w:val="20"/>
        </w:rPr>
        <w:t xml:space="preserve">. </w:t>
      </w:r>
      <w:r w:rsidRPr="00054630">
        <w:rPr>
          <w:rFonts w:ascii="Arial" w:hAnsi="Arial" w:cs="Arial"/>
          <w:sz w:val="20"/>
          <w:szCs w:val="20"/>
        </w:rPr>
        <w:t>Urgen reformas para redistribuir los beneficios del boom agroexportador a las y los trabajadores</w:t>
      </w:r>
      <w:r>
        <w:rPr>
          <w:rFonts w:ascii="Arial" w:hAnsi="Arial" w:cs="Arial"/>
          <w:sz w:val="20"/>
          <w:szCs w:val="20"/>
        </w:rPr>
        <w:t xml:space="preserve">. </w:t>
      </w:r>
    </w:p>
    <w:p w:rsidR="00054630" w:rsidRDefault="00054630">
      <w:pPr>
        <w:pStyle w:val="Textonotapie"/>
      </w:pPr>
    </w:p>
  </w:footnote>
  <w:footnote w:id="2">
    <w:p w:rsidR="00B21A0D" w:rsidRPr="00B21A0D" w:rsidRDefault="00B21A0D" w:rsidP="00B21A0D">
      <w:pPr>
        <w:pStyle w:val="Textonotapie"/>
        <w:jc w:val="both"/>
        <w:rPr>
          <w:rFonts w:ascii="Arial" w:hAnsi="Arial" w:cs="Arial"/>
        </w:rPr>
      </w:pPr>
      <w:r w:rsidRPr="00B21A0D">
        <w:rPr>
          <w:rStyle w:val="Refdenotaalpie"/>
          <w:rFonts w:ascii="Arial" w:hAnsi="Arial" w:cs="Arial"/>
        </w:rPr>
        <w:footnoteRef/>
      </w:r>
      <w:r w:rsidRPr="00B21A0D">
        <w:rPr>
          <w:rFonts w:ascii="Arial" w:hAnsi="Arial" w:cs="Arial"/>
        </w:rPr>
        <w:t xml:space="preserve"> Eco. Julio Gamero. </w:t>
      </w:r>
      <w:proofErr w:type="spellStart"/>
      <w:r w:rsidRPr="00B21A0D">
        <w:rPr>
          <w:rFonts w:ascii="Arial" w:hAnsi="Arial" w:cs="Arial"/>
          <w:lang w:val="es-PE"/>
        </w:rPr>
        <w:t>Agroexportación</w:t>
      </w:r>
      <w:proofErr w:type="spellEnd"/>
      <w:r w:rsidRPr="00B21A0D">
        <w:rPr>
          <w:rFonts w:ascii="Arial" w:hAnsi="Arial" w:cs="Arial"/>
          <w:lang w:val="es-PE"/>
        </w:rPr>
        <w:t>: competitividad, condiciones laborales y dumping social. Lima, Perú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A1" w:rsidRDefault="00A41EA1" w:rsidP="00A41EA1">
    <w:pPr>
      <w:pStyle w:val="Encabezado"/>
      <w:jc w:val="right"/>
    </w:pPr>
    <w:r>
      <w:rPr>
        <w:rFonts w:ascii="Tahoma" w:eastAsia="Tahoma" w:hAnsi="Tahoma" w:cs="Tahoma"/>
        <w:noProof/>
        <w:sz w:val="28"/>
        <w:lang w:eastAsia="es-ES"/>
      </w:rPr>
      <w:drawing>
        <wp:inline distT="0" distB="0" distL="0" distR="0">
          <wp:extent cx="1117600" cy="1028700"/>
          <wp:effectExtent l="19050" t="0" r="6350" b="0"/>
          <wp:docPr id="2" name="Imagen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3"/>
                  <pic:cNvPicPr>
                    <a:picLocks noChangeAspect="1" noChangeArrowheads="1"/>
                  </pic:cNvPicPr>
                </pic:nvPicPr>
                <pic:blipFill>
                  <a:blip r:embed="rId1"/>
                  <a:srcRect/>
                  <a:stretch>
                    <a:fillRect/>
                  </a:stretch>
                </pic:blipFill>
                <pic:spPr bwMode="auto">
                  <a:xfrm>
                    <a:off x="0" y="0"/>
                    <a:ext cx="1117600" cy="1028700"/>
                  </a:xfrm>
                  <a:prstGeom prst="rect">
                    <a:avLst/>
                  </a:prstGeom>
                  <a:noFill/>
                  <a:ln w="9525">
                    <a:noFill/>
                    <a:miter lim="800000"/>
                    <a:headEnd/>
                    <a:tailEnd/>
                  </a:ln>
                </pic:spPr>
              </pic:pic>
            </a:graphicData>
          </a:graphic>
        </wp:inline>
      </w:drawing>
    </w:r>
    <w:r>
      <w:rPr>
        <w:noProof/>
        <w:lang w:eastAsia="es-ES"/>
      </w:rPr>
      <w:t xml:space="preserve">                                                                                            </w:t>
    </w:r>
    <w:r w:rsidRPr="00A41EA1">
      <w:rPr>
        <w:noProof/>
        <w:lang w:eastAsia="es-ES"/>
      </w:rPr>
      <w:drawing>
        <wp:inline distT="0" distB="0" distL="0" distR="0">
          <wp:extent cx="1257300" cy="698500"/>
          <wp:effectExtent l="19050" t="0" r="0" b="0"/>
          <wp:docPr id="4" name="Imagen 3" descr="Paloma 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oma aurora"/>
                  <pic:cNvPicPr>
                    <a:picLocks noChangeAspect="1" noChangeArrowheads="1"/>
                  </pic:cNvPicPr>
                </pic:nvPicPr>
                <pic:blipFill>
                  <a:blip r:embed="rId2"/>
                  <a:srcRect/>
                  <a:stretch>
                    <a:fillRect/>
                  </a:stretch>
                </pic:blipFill>
                <pic:spPr bwMode="auto">
                  <a:xfrm>
                    <a:off x="0" y="0"/>
                    <a:ext cx="1257300" cy="698500"/>
                  </a:xfrm>
                  <a:prstGeom prst="rect">
                    <a:avLst/>
                  </a:prstGeom>
                  <a:noFill/>
                  <a:ln w="9525">
                    <a:noFill/>
                    <a:miter lim="800000"/>
                    <a:headEnd/>
                    <a:tailEnd/>
                  </a:ln>
                </pic:spPr>
              </pic:pic>
            </a:graphicData>
          </a:graphic>
        </wp:inline>
      </w:drawing>
    </w:r>
  </w:p>
  <w:p w:rsidR="00A41EA1" w:rsidRDefault="00A41E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E70B5"/>
    <w:multiLevelType w:val="hybridMultilevel"/>
    <w:tmpl w:val="39FCE4FE"/>
    <w:lvl w:ilvl="0" w:tplc="87EE1B80">
      <w:start w:val="1"/>
      <w:numFmt w:val="bullet"/>
      <w:lvlText w:val="•"/>
      <w:lvlJc w:val="left"/>
      <w:pPr>
        <w:tabs>
          <w:tab w:val="num" w:pos="720"/>
        </w:tabs>
        <w:ind w:left="720" w:hanging="360"/>
      </w:pPr>
      <w:rPr>
        <w:rFonts w:ascii="Arial" w:hAnsi="Arial" w:hint="default"/>
      </w:rPr>
    </w:lvl>
    <w:lvl w:ilvl="1" w:tplc="82708FA2" w:tentative="1">
      <w:start w:val="1"/>
      <w:numFmt w:val="bullet"/>
      <w:lvlText w:val="•"/>
      <w:lvlJc w:val="left"/>
      <w:pPr>
        <w:tabs>
          <w:tab w:val="num" w:pos="1440"/>
        </w:tabs>
        <w:ind w:left="1440" w:hanging="360"/>
      </w:pPr>
      <w:rPr>
        <w:rFonts w:ascii="Arial" w:hAnsi="Arial" w:hint="default"/>
      </w:rPr>
    </w:lvl>
    <w:lvl w:ilvl="2" w:tplc="D108A3E0" w:tentative="1">
      <w:start w:val="1"/>
      <w:numFmt w:val="bullet"/>
      <w:lvlText w:val="•"/>
      <w:lvlJc w:val="left"/>
      <w:pPr>
        <w:tabs>
          <w:tab w:val="num" w:pos="2160"/>
        </w:tabs>
        <w:ind w:left="2160" w:hanging="360"/>
      </w:pPr>
      <w:rPr>
        <w:rFonts w:ascii="Arial" w:hAnsi="Arial" w:hint="default"/>
      </w:rPr>
    </w:lvl>
    <w:lvl w:ilvl="3" w:tplc="4C9A01AC" w:tentative="1">
      <w:start w:val="1"/>
      <w:numFmt w:val="bullet"/>
      <w:lvlText w:val="•"/>
      <w:lvlJc w:val="left"/>
      <w:pPr>
        <w:tabs>
          <w:tab w:val="num" w:pos="2880"/>
        </w:tabs>
        <w:ind w:left="2880" w:hanging="360"/>
      </w:pPr>
      <w:rPr>
        <w:rFonts w:ascii="Arial" w:hAnsi="Arial" w:hint="default"/>
      </w:rPr>
    </w:lvl>
    <w:lvl w:ilvl="4" w:tplc="661C99B0" w:tentative="1">
      <w:start w:val="1"/>
      <w:numFmt w:val="bullet"/>
      <w:lvlText w:val="•"/>
      <w:lvlJc w:val="left"/>
      <w:pPr>
        <w:tabs>
          <w:tab w:val="num" w:pos="3600"/>
        </w:tabs>
        <w:ind w:left="3600" w:hanging="360"/>
      </w:pPr>
      <w:rPr>
        <w:rFonts w:ascii="Arial" w:hAnsi="Arial" w:hint="default"/>
      </w:rPr>
    </w:lvl>
    <w:lvl w:ilvl="5" w:tplc="71AA13B8" w:tentative="1">
      <w:start w:val="1"/>
      <w:numFmt w:val="bullet"/>
      <w:lvlText w:val="•"/>
      <w:lvlJc w:val="left"/>
      <w:pPr>
        <w:tabs>
          <w:tab w:val="num" w:pos="4320"/>
        </w:tabs>
        <w:ind w:left="4320" w:hanging="360"/>
      </w:pPr>
      <w:rPr>
        <w:rFonts w:ascii="Arial" w:hAnsi="Arial" w:hint="default"/>
      </w:rPr>
    </w:lvl>
    <w:lvl w:ilvl="6" w:tplc="DDDCDDBE" w:tentative="1">
      <w:start w:val="1"/>
      <w:numFmt w:val="bullet"/>
      <w:lvlText w:val="•"/>
      <w:lvlJc w:val="left"/>
      <w:pPr>
        <w:tabs>
          <w:tab w:val="num" w:pos="5040"/>
        </w:tabs>
        <w:ind w:left="5040" w:hanging="360"/>
      </w:pPr>
      <w:rPr>
        <w:rFonts w:ascii="Arial" w:hAnsi="Arial" w:hint="default"/>
      </w:rPr>
    </w:lvl>
    <w:lvl w:ilvl="7" w:tplc="4EA2F218" w:tentative="1">
      <w:start w:val="1"/>
      <w:numFmt w:val="bullet"/>
      <w:lvlText w:val="•"/>
      <w:lvlJc w:val="left"/>
      <w:pPr>
        <w:tabs>
          <w:tab w:val="num" w:pos="5760"/>
        </w:tabs>
        <w:ind w:left="5760" w:hanging="360"/>
      </w:pPr>
      <w:rPr>
        <w:rFonts w:ascii="Arial" w:hAnsi="Arial" w:hint="default"/>
      </w:rPr>
    </w:lvl>
    <w:lvl w:ilvl="8" w:tplc="02F6FD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956474"/>
    <w:rsid w:val="000357D9"/>
    <w:rsid w:val="00054630"/>
    <w:rsid w:val="00166551"/>
    <w:rsid w:val="001D180C"/>
    <w:rsid w:val="002F30CC"/>
    <w:rsid w:val="0042191D"/>
    <w:rsid w:val="00570900"/>
    <w:rsid w:val="005C1619"/>
    <w:rsid w:val="005E7595"/>
    <w:rsid w:val="006E379C"/>
    <w:rsid w:val="007852A4"/>
    <w:rsid w:val="007E38D7"/>
    <w:rsid w:val="00956474"/>
    <w:rsid w:val="00964BAD"/>
    <w:rsid w:val="00A30A90"/>
    <w:rsid w:val="00A41EA1"/>
    <w:rsid w:val="00AD040A"/>
    <w:rsid w:val="00B21A0D"/>
    <w:rsid w:val="00BC3FFD"/>
    <w:rsid w:val="00BD423A"/>
    <w:rsid w:val="00BE0A11"/>
    <w:rsid w:val="00C00AFD"/>
    <w:rsid w:val="00C71EF7"/>
    <w:rsid w:val="00C87B29"/>
    <w:rsid w:val="00D149CA"/>
    <w:rsid w:val="00D30BA3"/>
    <w:rsid w:val="00DF3D08"/>
    <w:rsid w:val="00ED7D57"/>
    <w:rsid w:val="00EE703D"/>
    <w:rsid w:val="00F07AF8"/>
    <w:rsid w:val="00F90E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30A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A90"/>
    <w:rPr>
      <w:sz w:val="20"/>
      <w:szCs w:val="20"/>
    </w:rPr>
  </w:style>
  <w:style w:type="character" w:styleId="Refdenotaalpie">
    <w:name w:val="footnote reference"/>
    <w:basedOn w:val="Fuentedeprrafopredeter"/>
    <w:uiPriority w:val="99"/>
    <w:semiHidden/>
    <w:unhideWhenUsed/>
    <w:rsid w:val="00A30A90"/>
    <w:rPr>
      <w:vertAlign w:val="superscript"/>
    </w:rPr>
  </w:style>
  <w:style w:type="paragraph" w:styleId="Textodeglobo">
    <w:name w:val="Balloon Text"/>
    <w:basedOn w:val="Normal"/>
    <w:link w:val="TextodegloboCar"/>
    <w:uiPriority w:val="99"/>
    <w:semiHidden/>
    <w:unhideWhenUsed/>
    <w:rsid w:val="000546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30"/>
    <w:rPr>
      <w:rFonts w:ascii="Tahoma" w:hAnsi="Tahoma" w:cs="Tahoma"/>
      <w:sz w:val="16"/>
      <w:szCs w:val="16"/>
    </w:rPr>
  </w:style>
  <w:style w:type="paragraph" w:styleId="NormalWeb">
    <w:name w:val="Normal (Web)"/>
    <w:basedOn w:val="Normal"/>
    <w:uiPriority w:val="99"/>
    <w:semiHidden/>
    <w:unhideWhenUsed/>
    <w:rsid w:val="000546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41E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EA1"/>
  </w:style>
  <w:style w:type="paragraph" w:styleId="Piedepgina">
    <w:name w:val="footer"/>
    <w:basedOn w:val="Normal"/>
    <w:link w:val="PiedepginaCar"/>
    <w:uiPriority w:val="99"/>
    <w:semiHidden/>
    <w:unhideWhenUsed/>
    <w:rsid w:val="00A41E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41EA1"/>
  </w:style>
</w:styles>
</file>

<file path=word/webSettings.xml><?xml version="1.0" encoding="utf-8"?>
<w:webSettings xmlns:r="http://schemas.openxmlformats.org/officeDocument/2006/relationships" xmlns:w="http://schemas.openxmlformats.org/wordprocessingml/2006/main">
  <w:divs>
    <w:div w:id="185604276">
      <w:bodyDiv w:val="1"/>
      <w:marLeft w:val="0"/>
      <w:marRight w:val="0"/>
      <w:marTop w:val="0"/>
      <w:marBottom w:val="0"/>
      <w:divBdr>
        <w:top w:val="none" w:sz="0" w:space="0" w:color="auto"/>
        <w:left w:val="none" w:sz="0" w:space="0" w:color="auto"/>
        <w:bottom w:val="none" w:sz="0" w:space="0" w:color="auto"/>
        <w:right w:val="none" w:sz="0" w:space="0" w:color="auto"/>
      </w:divBdr>
    </w:div>
    <w:div w:id="329908991">
      <w:bodyDiv w:val="1"/>
      <w:marLeft w:val="0"/>
      <w:marRight w:val="0"/>
      <w:marTop w:val="0"/>
      <w:marBottom w:val="0"/>
      <w:divBdr>
        <w:top w:val="none" w:sz="0" w:space="0" w:color="auto"/>
        <w:left w:val="none" w:sz="0" w:space="0" w:color="auto"/>
        <w:bottom w:val="none" w:sz="0" w:space="0" w:color="auto"/>
        <w:right w:val="none" w:sz="0" w:space="0" w:color="auto"/>
      </w:divBdr>
    </w:div>
    <w:div w:id="833766018">
      <w:bodyDiv w:val="1"/>
      <w:marLeft w:val="0"/>
      <w:marRight w:val="0"/>
      <w:marTop w:val="0"/>
      <w:marBottom w:val="0"/>
      <w:divBdr>
        <w:top w:val="none" w:sz="0" w:space="0" w:color="auto"/>
        <w:left w:val="none" w:sz="0" w:space="0" w:color="auto"/>
        <w:bottom w:val="none" w:sz="0" w:space="0" w:color="auto"/>
        <w:right w:val="none" w:sz="0" w:space="0" w:color="auto"/>
      </w:divBdr>
    </w:div>
    <w:div w:id="1869298982">
      <w:bodyDiv w:val="1"/>
      <w:marLeft w:val="0"/>
      <w:marRight w:val="0"/>
      <w:marTop w:val="0"/>
      <w:marBottom w:val="0"/>
      <w:divBdr>
        <w:top w:val="none" w:sz="0" w:space="0" w:color="auto"/>
        <w:left w:val="none" w:sz="0" w:space="0" w:color="auto"/>
        <w:bottom w:val="none" w:sz="0" w:space="0" w:color="auto"/>
        <w:right w:val="none" w:sz="0" w:space="0" w:color="auto"/>
      </w:divBdr>
    </w:div>
    <w:div w:id="19390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GRCONSULTORIA\Desktop\Dataesparrago19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PE" sz="1400"/>
            </a:pPr>
            <a:r>
              <a:rPr lang="es-PE" sz="1400"/>
              <a:t>% de la Planilla de obreros</a:t>
            </a:r>
          </a:p>
        </c:rich>
      </c:tx>
    </c:title>
    <c:plotArea>
      <c:layout/>
      <c:barChart>
        <c:barDir val="col"/>
        <c:grouping val="clustered"/>
        <c:ser>
          <c:idx val="0"/>
          <c:order val="0"/>
          <c:tx>
            <c:strRef>
              <c:f>'36b2occxv1'!$B$269</c:f>
              <c:strCache>
                <c:ptCount val="1"/>
                <c:pt idx="0">
                  <c:v>Virú</c:v>
                </c:pt>
              </c:strCache>
            </c:strRef>
          </c:tx>
          <c:spPr>
            <a:solidFill>
              <a:schemeClr val="accent3">
                <a:lumMod val="50000"/>
              </a:schemeClr>
            </a:solidFill>
          </c:spPr>
          <c:dLbls>
            <c:dLbl>
              <c:idx val="0"/>
              <c:layout>
                <c:manualLayout>
                  <c:x val="-1.1603242914530005E-2"/>
                  <c:y val="0.13628536223247936"/>
                </c:manualLayout>
              </c:layout>
              <c:showVal val="1"/>
            </c:dLbl>
            <c:dLbl>
              <c:idx val="1"/>
              <c:layout>
                <c:manualLayout>
                  <c:x val="0"/>
                  <c:y val="0.15632732726666701"/>
                </c:manualLayout>
              </c:layout>
              <c:showVal val="1"/>
            </c:dLbl>
            <c:txPr>
              <a:bodyPr/>
              <a:lstStyle/>
              <a:p>
                <a:pPr>
                  <a:defRPr lang="es-PE" b="1">
                    <a:solidFill>
                      <a:schemeClr val="bg1"/>
                    </a:solidFill>
                  </a:defRPr>
                </a:pPr>
                <a:endParaRPr lang="es-ES"/>
              </a:p>
            </c:txPr>
            <c:showVal val="1"/>
          </c:dLbls>
          <c:cat>
            <c:strRef>
              <c:f>'36b2occxv1'!$C$268:$D$268</c:f>
              <c:strCache>
                <c:ptCount val="2"/>
                <c:pt idx="0">
                  <c:v>% Costos y gastos</c:v>
                </c:pt>
                <c:pt idx="1">
                  <c:v>% Ventas</c:v>
                </c:pt>
              </c:strCache>
            </c:strRef>
          </c:cat>
          <c:val>
            <c:numRef>
              <c:f>'36b2occxv1'!$C$269:$D$269</c:f>
              <c:numCache>
                <c:formatCode>0.0%</c:formatCode>
                <c:ptCount val="2"/>
                <c:pt idx="0">
                  <c:v>0.35923885047376475</c:v>
                </c:pt>
                <c:pt idx="1">
                  <c:v>0.37102114730916791</c:v>
                </c:pt>
              </c:numCache>
            </c:numRef>
          </c:val>
        </c:ser>
        <c:ser>
          <c:idx val="1"/>
          <c:order val="1"/>
          <c:tx>
            <c:strRef>
              <c:f>'36b2occxv1'!$B$270</c:f>
              <c:strCache>
                <c:ptCount val="1"/>
                <c:pt idx="0">
                  <c:v>CAMPOSOL</c:v>
                </c:pt>
              </c:strCache>
            </c:strRef>
          </c:tx>
          <c:spPr>
            <a:solidFill>
              <a:srgbClr val="002060"/>
            </a:solidFill>
          </c:spPr>
          <c:dLbls>
            <c:dLbl>
              <c:idx val="0"/>
              <c:layout>
                <c:manualLayout>
                  <c:x val="-9.2825943316239903E-3"/>
                  <c:y val="8.4176253143590243E-2"/>
                </c:manualLayout>
              </c:layout>
              <c:showVal val="1"/>
            </c:dLbl>
            <c:dLbl>
              <c:idx val="1"/>
              <c:layout>
                <c:manualLayout>
                  <c:x val="2.3206485829059919E-3"/>
                  <c:y val="9.2193039157265344E-2"/>
                </c:manualLayout>
              </c:layout>
              <c:showVal val="1"/>
            </c:dLbl>
            <c:txPr>
              <a:bodyPr/>
              <a:lstStyle/>
              <a:p>
                <a:pPr>
                  <a:defRPr lang="es-PE" b="1">
                    <a:solidFill>
                      <a:schemeClr val="bg1"/>
                    </a:solidFill>
                  </a:defRPr>
                </a:pPr>
                <a:endParaRPr lang="es-ES"/>
              </a:p>
            </c:txPr>
            <c:showVal val="1"/>
          </c:dLbls>
          <c:cat>
            <c:strRef>
              <c:f>'36b2occxv1'!$C$268:$D$268</c:f>
              <c:strCache>
                <c:ptCount val="2"/>
                <c:pt idx="0">
                  <c:v>% Costos y gastos</c:v>
                </c:pt>
                <c:pt idx="1">
                  <c:v>% Ventas</c:v>
                </c:pt>
              </c:strCache>
            </c:strRef>
          </c:cat>
          <c:val>
            <c:numRef>
              <c:f>'36b2occxv1'!$C$270:$D$270</c:f>
              <c:numCache>
                <c:formatCode>0.0%</c:formatCode>
                <c:ptCount val="2"/>
                <c:pt idx="0">
                  <c:v>0.19580384243389309</c:v>
                </c:pt>
                <c:pt idx="1">
                  <c:v>0.21444193931632985</c:v>
                </c:pt>
              </c:numCache>
            </c:numRef>
          </c:val>
        </c:ser>
        <c:gapWidth val="75"/>
        <c:overlap val="-25"/>
        <c:axId val="220836224"/>
        <c:axId val="220837760"/>
      </c:barChart>
      <c:catAx>
        <c:axId val="220836224"/>
        <c:scaling>
          <c:orientation val="minMax"/>
        </c:scaling>
        <c:axPos val="b"/>
        <c:majorTickMark val="none"/>
        <c:tickLblPos val="nextTo"/>
        <c:txPr>
          <a:bodyPr/>
          <a:lstStyle/>
          <a:p>
            <a:pPr>
              <a:defRPr lang="es-PE"/>
            </a:pPr>
            <a:endParaRPr lang="es-ES"/>
          </a:p>
        </c:txPr>
        <c:crossAx val="220837760"/>
        <c:crosses val="autoZero"/>
        <c:auto val="1"/>
        <c:lblAlgn val="ctr"/>
        <c:lblOffset val="100"/>
      </c:catAx>
      <c:valAx>
        <c:axId val="220837760"/>
        <c:scaling>
          <c:orientation val="minMax"/>
        </c:scaling>
        <c:axPos val="l"/>
        <c:majorGridlines/>
        <c:numFmt formatCode="0.0%" sourceLinked="1"/>
        <c:majorTickMark val="none"/>
        <c:tickLblPos val="nextTo"/>
        <c:spPr>
          <a:ln w="9525">
            <a:noFill/>
          </a:ln>
        </c:spPr>
        <c:txPr>
          <a:bodyPr/>
          <a:lstStyle/>
          <a:p>
            <a:pPr>
              <a:defRPr lang="es-PE"/>
            </a:pPr>
            <a:endParaRPr lang="es-ES"/>
          </a:p>
        </c:txPr>
        <c:crossAx val="220836224"/>
        <c:crosses val="autoZero"/>
        <c:crossBetween val="between"/>
      </c:valAx>
    </c:plotArea>
    <c:legend>
      <c:legendPos val="b"/>
      <c:txPr>
        <a:bodyPr/>
        <a:lstStyle/>
        <a:p>
          <a:pPr>
            <a:defRPr lang="es-PE"/>
          </a:pPr>
          <a:endParaRPr lang="es-ES"/>
        </a:p>
      </c:txPr>
    </c:legend>
    <c:plotVisOnly val="1"/>
  </c:chart>
  <c:txPr>
    <a:bodyPr/>
    <a:lstStyle/>
    <a:p>
      <a:pPr>
        <a:defRPr sz="1100">
          <a:latin typeface="Arial Narrow" pitchFamily="34" charset="0"/>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6911-9243-4DFA-BC06-964CC824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PC- MASTER</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2</cp:revision>
  <dcterms:created xsi:type="dcterms:W3CDTF">2012-03-14T19:48:00Z</dcterms:created>
  <dcterms:modified xsi:type="dcterms:W3CDTF">2012-03-14T19:48:00Z</dcterms:modified>
</cp:coreProperties>
</file>