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81" w:rsidRDefault="00822681">
      <w:pPr>
        <w:ind w:right="26"/>
        <w:jc w:val="both"/>
        <w:rPr>
          <w:b/>
          <w:lang w:val="en-US"/>
        </w:rPr>
      </w:pPr>
    </w:p>
    <w:p w:rsidR="00822681" w:rsidRDefault="00822681">
      <w:pPr>
        <w:ind w:right="26"/>
        <w:jc w:val="center"/>
        <w:rPr>
          <w:b/>
          <w:lang w:val="en-US"/>
        </w:rPr>
      </w:pPr>
      <w:r>
        <w:rPr>
          <w:b/>
          <w:lang w:val="en-US"/>
        </w:rPr>
        <w:t>INTRODUCTION</w:t>
      </w:r>
    </w:p>
    <w:p w:rsidR="00822681" w:rsidRDefault="00822681">
      <w:pPr>
        <w:ind w:right="26"/>
        <w:jc w:val="both"/>
        <w:rPr>
          <w:lang w:val="en-US"/>
        </w:rPr>
      </w:pPr>
    </w:p>
    <w:p w:rsidR="00822681" w:rsidRDefault="00822681" w:rsidP="00C03113">
      <w:pPr>
        <w:numPr>
          <w:ilvl w:val="0"/>
          <w:numId w:val="43"/>
        </w:numPr>
        <w:jc w:val="both"/>
        <w:rPr>
          <w:lang w:val="en-GB"/>
        </w:rPr>
      </w:pPr>
      <w:r>
        <w:rPr>
          <w:lang w:val="en-US"/>
        </w:rPr>
        <w:t xml:space="preserve">The present periodic report focuses on the concluding observations of the Committee on Economic, Social and Cultural Rights, </w:t>
      </w:r>
      <w:r>
        <w:rPr>
          <w:lang w:val="en-GB"/>
        </w:rPr>
        <w:t>adopted on 14 May 2004 and published on 7 June 2004 (</w:t>
      </w:r>
      <w:fldSimple w:instr=" FILLIN &quot;Symbol&quot; \* MERGEFORMAT ">
        <w:r>
          <w:rPr>
            <w:lang w:val="en-GB"/>
          </w:rPr>
          <w:t>E/C.12/1/Add.97</w:t>
        </w:r>
      </w:fldSimple>
      <w:r>
        <w:rPr>
          <w:lang w:val="en-US"/>
        </w:rPr>
        <w:t xml:space="preserve">) and covers a wide range of additional developments in the field of economic, social and cultural rights during the last years. We would like to recall that </w:t>
      </w:r>
      <w:r>
        <w:rPr>
          <w:lang w:val="en-GB"/>
        </w:rPr>
        <w:t>the Government of Greece submitted on 21 July 2004 a number of comments, both of a general character and on specific paragraphs of the abovementioned Concluding Observations (</w:t>
      </w:r>
      <w:fldSimple w:instr=" FILLIN &quot;Symbol&quot; \* MERGEFORMAT ">
        <w:r>
          <w:rPr>
            <w:lang w:val="en-GB"/>
          </w:rPr>
          <w:t>E/C.12/2004/</w:t>
        </w:r>
      </w:fldSimple>
      <w:r>
        <w:rPr>
          <w:lang w:val="en-GB"/>
        </w:rPr>
        <w:t xml:space="preserve">8/19.8.2004). </w:t>
      </w:r>
    </w:p>
    <w:p w:rsidR="00C03234" w:rsidRDefault="00C03234" w:rsidP="00C03113">
      <w:pPr>
        <w:widowControl w:val="0"/>
        <w:numPr>
          <w:ilvl w:val="0"/>
          <w:numId w:val="43"/>
        </w:numPr>
        <w:suppressAutoHyphens/>
        <w:spacing w:before="120" w:after="120"/>
        <w:ind w:right="-154"/>
        <w:jc w:val="both"/>
        <w:rPr>
          <w:lang w:val="en-GB"/>
        </w:rPr>
      </w:pPr>
      <w:r w:rsidRPr="00C03234">
        <w:rPr>
          <w:lang w:val="en-GB"/>
        </w:rPr>
        <w:t xml:space="preserve">The drafting of the report was coordinated by the Ministry of Foreign Affairs, in close cooperation with all Ministries involved in the promotion and protection of </w:t>
      </w:r>
      <w:r>
        <w:rPr>
          <w:lang w:val="en-GB"/>
        </w:rPr>
        <w:t xml:space="preserve">economic, social and cultural </w:t>
      </w:r>
      <w:r w:rsidRPr="00C03234">
        <w:rPr>
          <w:lang w:val="en-GB"/>
        </w:rPr>
        <w:t>rights</w:t>
      </w:r>
      <w:r>
        <w:rPr>
          <w:lang w:val="en-GB"/>
        </w:rPr>
        <w:t>. T</w:t>
      </w:r>
      <w:r w:rsidRPr="00C03234">
        <w:rPr>
          <w:lang w:val="en-GB"/>
        </w:rPr>
        <w:t>he draft report</w:t>
      </w:r>
      <w:r>
        <w:rPr>
          <w:lang w:val="en-GB"/>
        </w:rPr>
        <w:t xml:space="preserve"> </w:t>
      </w:r>
      <w:r w:rsidRPr="00C03234">
        <w:rPr>
          <w:lang w:val="en-GB"/>
        </w:rPr>
        <w:t xml:space="preserve">was submitted to the </w:t>
      </w:r>
      <w:r>
        <w:rPr>
          <w:lang w:val="en-GB"/>
        </w:rPr>
        <w:t xml:space="preserve">National Commission for Human Rights (NCHR), in which six major NGOs participate; the views of </w:t>
      </w:r>
      <w:r w:rsidRPr="00C03234">
        <w:rPr>
          <w:lang w:val="en-GB"/>
        </w:rPr>
        <w:t>the NCHR</w:t>
      </w:r>
      <w:r>
        <w:rPr>
          <w:lang w:val="en-GB"/>
        </w:rPr>
        <w:t xml:space="preserve"> have been </w:t>
      </w:r>
      <w:r w:rsidRPr="00C03234">
        <w:rPr>
          <w:lang w:val="en-GB"/>
        </w:rPr>
        <w:t xml:space="preserve">duly taken into consideration in </w:t>
      </w:r>
      <w:r>
        <w:rPr>
          <w:lang w:val="en-GB"/>
        </w:rPr>
        <w:t>view of the finalization of the</w:t>
      </w:r>
      <w:r w:rsidRPr="00C03234">
        <w:rPr>
          <w:lang w:val="en-GB"/>
        </w:rPr>
        <w:t xml:space="preserve"> report</w:t>
      </w:r>
      <w:r>
        <w:rPr>
          <w:lang w:val="en-GB"/>
        </w:rPr>
        <w:t>.</w:t>
      </w:r>
    </w:p>
    <w:p w:rsidR="00822681" w:rsidRDefault="00822681" w:rsidP="00C03113">
      <w:pPr>
        <w:widowControl w:val="0"/>
        <w:numPr>
          <w:ilvl w:val="0"/>
          <w:numId w:val="43"/>
        </w:numPr>
        <w:suppressAutoHyphens/>
        <w:spacing w:before="120" w:after="120"/>
        <w:ind w:right="-154"/>
        <w:jc w:val="both"/>
        <w:rPr>
          <w:lang w:val="en-GB"/>
        </w:rPr>
      </w:pPr>
      <w:r>
        <w:rPr>
          <w:lang w:val="en-US"/>
        </w:rPr>
        <w:t xml:space="preserve">Greece is amidst a challenging economic and financial situation. Since 2010, the euro area Member States of the EU have been providing stability support to Greece, in conjunction with multilateral assistance provided by the International Monetary Fund. Within this framework, the Government has been implementing measures of fiscal adjustment, covering wide sectors of the social and economic life of the country, such as employment, health sector, social security, etc. Inevitably, the above measures have a profound impact on the enjoyment of a number of economic and social rights. The policies pursued by the Government, however, are necessary in order to safeguard the “social welfare state”, under threat from the dire situation of public finances. Our major challenge is to establish an adequate safety net </w:t>
      </w:r>
      <w:r>
        <w:rPr>
          <w:bCs/>
          <w:lang w:val="en-GB"/>
        </w:rPr>
        <w:t xml:space="preserve">against poverty and social exclusion, </w:t>
      </w:r>
      <w:r>
        <w:rPr>
          <w:bCs/>
          <w:lang w:val="en-US"/>
        </w:rPr>
        <w:t>particularly</w:t>
      </w:r>
      <w:r>
        <w:rPr>
          <w:bCs/>
          <w:lang w:val="en-GB"/>
        </w:rPr>
        <w:t xml:space="preserve"> for the </w:t>
      </w:r>
      <w:r>
        <w:rPr>
          <w:bCs/>
          <w:lang w:val="en-US"/>
        </w:rPr>
        <w:t>next few years,</w:t>
      </w:r>
      <w:r>
        <w:rPr>
          <w:bCs/>
          <w:lang w:val="en-GB"/>
        </w:rPr>
        <w:t xml:space="preserve"> through the adoption of targeted measures benefiting those at risk of poverty so as to limit the impact of the crisis. </w:t>
      </w:r>
      <w:r>
        <w:rPr>
          <w:lang w:val="en-US"/>
        </w:rPr>
        <w:t xml:space="preserve"> </w:t>
      </w:r>
      <w:r>
        <w:rPr>
          <w:bCs/>
          <w:lang w:val="en-GB"/>
        </w:rPr>
        <w:t xml:space="preserve">The “social safety net” against social exclusion, includes access to basic services, such as medical care, housing and education. </w:t>
      </w:r>
      <w:r>
        <w:rPr>
          <w:lang w:val="en-US"/>
        </w:rPr>
        <w:t xml:space="preserve">The measures taken by the Government aim at leading the country back to the path of sustainable economic growth, promoting the enjoyment of economic and social rights for all. </w:t>
      </w:r>
    </w:p>
    <w:p w:rsidR="00822681" w:rsidRDefault="00822681">
      <w:pPr>
        <w:ind w:right="26"/>
        <w:jc w:val="center"/>
        <w:rPr>
          <w:b/>
          <w:lang w:val="en-US"/>
        </w:rPr>
      </w:pPr>
    </w:p>
    <w:p w:rsidR="00822681" w:rsidRDefault="00822681">
      <w:pPr>
        <w:ind w:right="26"/>
        <w:jc w:val="center"/>
        <w:rPr>
          <w:b/>
          <w:lang w:val="en-US"/>
        </w:rPr>
      </w:pPr>
      <w:r>
        <w:rPr>
          <w:b/>
          <w:lang w:val="en-US"/>
        </w:rPr>
        <w:t>ARTICLE</w:t>
      </w:r>
      <w:r>
        <w:rPr>
          <w:b/>
          <w:lang w:val="en-GB"/>
        </w:rPr>
        <w:t xml:space="preserve"> 2</w:t>
      </w:r>
    </w:p>
    <w:p w:rsidR="00822681" w:rsidRDefault="00822681">
      <w:pPr>
        <w:pStyle w:val="NormalWeb"/>
        <w:ind w:right="26"/>
        <w:jc w:val="both"/>
        <w:rPr>
          <w:b/>
          <w:lang w:val="en-US"/>
        </w:rPr>
      </w:pPr>
      <w:r>
        <w:rPr>
          <w:b/>
          <w:lang w:val="en-US"/>
        </w:rPr>
        <w:t>Anti-discrimination legislation</w:t>
      </w:r>
    </w:p>
    <w:p w:rsidR="00822681" w:rsidRDefault="00822681" w:rsidP="00C03113">
      <w:pPr>
        <w:pStyle w:val="NormalWeb"/>
        <w:numPr>
          <w:ilvl w:val="0"/>
          <w:numId w:val="43"/>
        </w:numPr>
        <w:spacing w:before="120" w:beforeAutospacing="0" w:after="120" w:afterAutospacing="0"/>
        <w:ind w:right="26"/>
        <w:jc w:val="both"/>
        <w:rPr>
          <w:lang w:val="en-US"/>
        </w:rPr>
      </w:pPr>
      <w:r>
        <w:rPr>
          <w:lang w:val="en-US"/>
        </w:rPr>
        <w:t>In 2005, Parliament adopted Law 3304/2005 on the “Implementation of the principle of equal treatment regardless of racial or ethnic origin, religious or other beliefs, disability, age or sexual orientation”, which incorporates two relevant EU directives (2000/43/EC dated 29 June 2000, and 2000/78/EC dated 27 November 2000). The aim of the Law is to lay down a general regulatory framework for combating discrimination in a wide variety of fields and to designate or establish bodies for protecting, promoting and monitoring compliance with the principle of non-discrimination.</w:t>
      </w:r>
    </w:p>
    <w:p w:rsidR="00822681" w:rsidRDefault="00822681" w:rsidP="00C03113">
      <w:pPr>
        <w:numPr>
          <w:ilvl w:val="0"/>
          <w:numId w:val="43"/>
        </w:numPr>
        <w:autoSpaceDE w:val="0"/>
        <w:autoSpaceDN w:val="0"/>
        <w:adjustRightInd w:val="0"/>
        <w:spacing w:before="120" w:after="120"/>
        <w:ind w:right="-154"/>
        <w:jc w:val="both"/>
        <w:rPr>
          <w:lang w:val="en-US"/>
        </w:rPr>
      </w:pPr>
      <w:r>
        <w:rPr>
          <w:lang w:val="en-US"/>
        </w:rPr>
        <w:t xml:space="preserve">The Law prohibits both direct and indirect discrimination, as well as “harassment” and confirms that “special measures” and “positive action” are in conformity with the principle of equal treatment. Other provisions are devoted to the </w:t>
      </w:r>
      <w:r>
        <w:rPr>
          <w:lang w:val="en-US"/>
        </w:rPr>
        <w:lastRenderedPageBreak/>
        <w:t>protection of victims of discrimination and  provide for, inter alia, the shift of the burden of proof (with the exception of criminal procedures) and the protection of the complainant against victimization.</w:t>
      </w:r>
    </w:p>
    <w:p w:rsidR="00C03113" w:rsidRPr="00E717D1" w:rsidRDefault="00822681" w:rsidP="00C03113">
      <w:pPr>
        <w:pStyle w:val="NormalWeb"/>
        <w:numPr>
          <w:ilvl w:val="0"/>
          <w:numId w:val="43"/>
        </w:numPr>
        <w:spacing w:before="120" w:beforeAutospacing="0" w:after="120" w:afterAutospacing="0"/>
        <w:ind w:right="26"/>
        <w:jc w:val="both"/>
        <w:rPr>
          <w:lang w:val="en-GB"/>
        </w:rPr>
      </w:pPr>
      <w:r>
        <w:rPr>
          <w:lang w:val="en-US"/>
        </w:rPr>
        <w:t>As regards, in particular, the principle of equal treatment regardless of racial or ethnic origin, the scope of the relevant Chapter II of the Law is very wide. Its provisions apply to all persons, as regards both the public and private sectors, in relation to: (a) conditions of access to employment and to occupation in general, including selection criteria and recruitment conditions, (b) access to all types of vocational guidance, training, retraining and practical work experience, (c) employment and working conditions, including dismissals and pay, (d) participation to an organization of workers or employers or any other professional organization, (e) social protection, including social security and health care, (f) social advantages, (g) education, (h) access to and supply of goods and services which are made available to the public, including housing</w:t>
      </w:r>
      <w:r>
        <w:rPr>
          <w:lang w:val="en-GB"/>
        </w:rPr>
        <w:t>.</w:t>
      </w:r>
    </w:p>
    <w:p w:rsidR="00822681" w:rsidRDefault="00822681" w:rsidP="00C03113">
      <w:pPr>
        <w:pStyle w:val="NormalWeb"/>
        <w:numPr>
          <w:ilvl w:val="0"/>
          <w:numId w:val="43"/>
        </w:numPr>
        <w:spacing w:before="120" w:beforeAutospacing="0" w:after="120" w:afterAutospacing="0"/>
        <w:ind w:right="26"/>
        <w:jc w:val="both"/>
        <w:rPr>
          <w:lang w:val="en-US"/>
        </w:rPr>
      </w:pPr>
      <w:r>
        <w:rPr>
          <w:lang w:val="en-US"/>
        </w:rPr>
        <w:t xml:space="preserve">Chapter III of the Law on the principle of equal treatment regardless of religious or other beliefs, disability, age or sexual orientation follows the same general principles and pattern as Chapter II, but has a more limited scope, since it applies in the areas of employment and occupation and covers cases (a) to (d) referred to here above. There are also specific provisions on occupational requirements (Article 9), reasonable accommodation for disabled persons (Article 10) and justification of differences of treatment on grounds of age (Article 11). </w:t>
      </w:r>
    </w:p>
    <w:p w:rsidR="00822681" w:rsidRDefault="00822681" w:rsidP="00C03113">
      <w:pPr>
        <w:pStyle w:val="NormalWeb"/>
        <w:numPr>
          <w:ilvl w:val="0"/>
          <w:numId w:val="43"/>
        </w:numPr>
        <w:spacing w:before="120" w:beforeAutospacing="0" w:after="120" w:afterAutospacing="0"/>
        <w:ind w:right="26"/>
        <w:jc w:val="both"/>
        <w:rPr>
          <w:lang w:val="en-US"/>
        </w:rPr>
      </w:pPr>
      <w:r>
        <w:rPr>
          <w:lang w:val="en-US"/>
        </w:rPr>
        <w:t>It is, however, to be noted that the protection afforded against discrimination on the grounds of religious or other beliefs, disability, age or sexual orientation may be extended, by virtue of a Presidential decree, into areas other than those of employment and occupation (Article 27).</w:t>
      </w:r>
    </w:p>
    <w:p w:rsidR="00822681" w:rsidRDefault="00822681" w:rsidP="00C03113">
      <w:pPr>
        <w:pStyle w:val="NormalWeb"/>
        <w:numPr>
          <w:ilvl w:val="0"/>
          <w:numId w:val="43"/>
        </w:numPr>
        <w:spacing w:before="120" w:beforeAutospacing="0" w:after="120" w:afterAutospacing="0"/>
        <w:ind w:right="26"/>
        <w:jc w:val="both"/>
        <w:rPr>
          <w:lang w:val="en-US"/>
        </w:rPr>
      </w:pPr>
      <w:r>
        <w:rPr>
          <w:lang w:val="en-US"/>
        </w:rPr>
        <w:t>A most important aspect of Law 3304/2005 is the establishment or designation of the following bodies for the promotion of equal treatment:</w:t>
      </w:r>
    </w:p>
    <w:p w:rsidR="00822681" w:rsidRDefault="00822681" w:rsidP="00C03113">
      <w:pPr>
        <w:pStyle w:val="NormalWeb"/>
        <w:numPr>
          <w:ilvl w:val="0"/>
          <w:numId w:val="43"/>
        </w:numPr>
        <w:spacing w:before="120" w:beforeAutospacing="0" w:after="120" w:afterAutospacing="0"/>
        <w:ind w:right="26"/>
        <w:jc w:val="both"/>
        <w:rPr>
          <w:lang w:val="en-US"/>
        </w:rPr>
      </w:pPr>
      <w:r>
        <w:rPr>
          <w:lang w:val="en-US"/>
        </w:rPr>
        <w:t>The Office of the Ombudsman examines complaints for alleged violations of the principle of equal treatment by services of: a) the public sector, b) local and regional authorities, c) other public bodies, state private law entities, public corporations, local government enterprises and undertakings whose management is directly or indirectly determined by the state by means of an administrative decision or as a shareholder. In fulfilling this task, the Office of the Ombudsman has an expanded scope of ac</w:t>
      </w:r>
      <w:r w:rsidR="008E1CF9">
        <w:rPr>
          <w:lang w:val="en-US"/>
        </w:rPr>
        <w:t xml:space="preserve">tion. </w:t>
      </w:r>
    </w:p>
    <w:p w:rsidR="008E1CF9" w:rsidRDefault="00822681" w:rsidP="00C03113">
      <w:pPr>
        <w:pStyle w:val="NormalWeb"/>
        <w:numPr>
          <w:ilvl w:val="0"/>
          <w:numId w:val="43"/>
        </w:numPr>
        <w:spacing w:before="120" w:beforeAutospacing="0" w:after="120" w:afterAutospacing="0"/>
        <w:ind w:right="26"/>
        <w:jc w:val="both"/>
        <w:rPr>
          <w:lang w:val="en-US"/>
        </w:rPr>
      </w:pPr>
      <w:r>
        <w:rPr>
          <w:lang w:val="en-US"/>
        </w:rPr>
        <w:t xml:space="preserve">The Committee for Equal Treatment (CET), a body established in the Ministry of Justice, Transparency and Human Rights, subject directly to the Minister, examines violations of the principle of equal treatment by natural and legal persons, other than those which fall within the competence of the Office of the Ombudsman or the Labor Inspectorate. </w:t>
      </w:r>
    </w:p>
    <w:p w:rsidR="00822681" w:rsidRDefault="00822681" w:rsidP="00C03113">
      <w:pPr>
        <w:pStyle w:val="NormalWeb"/>
        <w:numPr>
          <w:ilvl w:val="0"/>
          <w:numId w:val="43"/>
        </w:numPr>
        <w:spacing w:before="120" w:beforeAutospacing="0" w:after="120" w:afterAutospacing="0"/>
        <w:ind w:right="26"/>
        <w:jc w:val="both"/>
        <w:rPr>
          <w:lang w:val="en-GB"/>
        </w:rPr>
      </w:pPr>
      <w:r>
        <w:rPr>
          <w:lang w:val="en-US"/>
        </w:rPr>
        <w:t>The Labor Inspectorate (SEPE) takes up cases of alleged discrimination in the fields of occupation and employment, other than those falling within the competence of the Office of the Ombudsman.</w:t>
      </w:r>
      <w:r w:rsidR="00574C76">
        <w:rPr>
          <w:lang w:val="en-US"/>
        </w:rPr>
        <w:t xml:space="preserve"> </w:t>
      </w:r>
      <w:r>
        <w:rPr>
          <w:lang w:val="en-US"/>
        </w:rPr>
        <w:t xml:space="preserve">SEPE can conduct investigations or controls  and </w:t>
      </w:r>
      <w:r w:rsidR="00574C76">
        <w:rPr>
          <w:lang w:val="en-US"/>
        </w:rPr>
        <w:t xml:space="preserve">also </w:t>
      </w:r>
      <w:r>
        <w:rPr>
          <w:lang w:val="en-US"/>
        </w:rPr>
        <w:t>impose administrative sanctions and lodge a complaint in case of violation of criminal law</w:t>
      </w:r>
      <w:r w:rsidR="00E717D1" w:rsidRPr="00E717D1">
        <w:rPr>
          <w:lang w:val="en-GB"/>
        </w:rPr>
        <w:t xml:space="preserve"> </w:t>
      </w:r>
      <w:r>
        <w:rPr>
          <w:lang w:val="en-US"/>
        </w:rPr>
        <w:t xml:space="preserve">provisions. </w:t>
      </w:r>
      <w:r w:rsidR="00574C76">
        <w:rPr>
          <w:lang w:val="en-US"/>
        </w:rPr>
        <w:t>According to Article 2 of Law</w:t>
      </w:r>
      <w:r w:rsidR="00F417A1">
        <w:rPr>
          <w:lang w:val="en-US"/>
        </w:rPr>
        <w:t xml:space="preserve"> </w:t>
      </w:r>
      <w:r w:rsidR="00574C76">
        <w:rPr>
          <w:lang w:val="en-US"/>
        </w:rPr>
        <w:t xml:space="preserve">3996/05-08-2011 “Reformation of the Labour Inspectorate, regulations of social security issues and other provisions”, SEPE examines violations of the principle of equal treatment </w:t>
      </w:r>
      <w:r w:rsidR="001C4FFF">
        <w:rPr>
          <w:lang w:val="en-US"/>
        </w:rPr>
        <w:t xml:space="preserve">between men and women at work and in employment </w:t>
      </w:r>
      <w:r w:rsidR="00574C76">
        <w:rPr>
          <w:lang w:val="en-US"/>
        </w:rPr>
        <w:t xml:space="preserve">regardless of ethnic or racial </w:t>
      </w:r>
      <w:r w:rsidR="00574C76">
        <w:rPr>
          <w:lang w:val="en-US"/>
        </w:rPr>
        <w:lastRenderedPageBreak/>
        <w:t>origin, religious or other beliefs, disability, age or sexual orientation, taking into consideration cases of multiple discrimination as well. Implementing article 10 of Law</w:t>
      </w:r>
      <w:r w:rsidR="00F417A1">
        <w:rPr>
          <w:lang w:val="en-US"/>
        </w:rPr>
        <w:t xml:space="preserve"> </w:t>
      </w:r>
      <w:r w:rsidR="00574C76">
        <w:rPr>
          <w:lang w:val="en-US"/>
        </w:rPr>
        <w:t xml:space="preserve">3304/2005, SEPE also examines cases of discrimination against persons with disability, including persons with HIV.  </w:t>
      </w:r>
    </w:p>
    <w:p w:rsidR="00822681" w:rsidRDefault="00822681" w:rsidP="00C03113">
      <w:pPr>
        <w:numPr>
          <w:ilvl w:val="0"/>
          <w:numId w:val="43"/>
        </w:numPr>
        <w:spacing w:before="120" w:after="120"/>
        <w:ind w:right="-154"/>
        <w:jc w:val="both"/>
        <w:rPr>
          <w:lang w:val="en-US"/>
        </w:rPr>
      </w:pPr>
      <w:r>
        <w:rPr>
          <w:lang w:val="en-US"/>
        </w:rPr>
        <w:t xml:space="preserve">The NCHR has pointed out deficiencies in the relevant legislative framework. It is true that Law </w:t>
      </w:r>
      <w:r>
        <w:rPr>
          <w:lang w:val="en-GB"/>
        </w:rPr>
        <w:t>3304</w:t>
      </w:r>
      <w:r>
        <w:rPr>
          <w:lang w:val="en-US"/>
        </w:rPr>
        <w:t xml:space="preserve">/2005 has not developed its full potential yet, with regard to the monitoring of its implementation. The number of complaints submitted is small and confined mainly to the public sector, falling under the competence of the Office of the Ombudsman. It is, however, to be stressed that both the Greek Ombudsman, as an independent authority, and the Labor Inspectorate handle in an effective manner an important number of cases, under their respective general legislative framework, which are closely linked to the fight against all forms of discrimination. </w:t>
      </w:r>
    </w:p>
    <w:tbl>
      <w:tblPr>
        <w:tblpPr w:leftFromText="180" w:rightFromText="180" w:vertAnchor="text" w:horzAnchor="margin" w:tblpXSpec="center" w:tblpY="59"/>
        <w:tblW w:w="0" w:type="auto"/>
        <w:tblLayout w:type="fixed"/>
        <w:tblCellMar>
          <w:left w:w="0" w:type="dxa"/>
          <w:right w:w="0" w:type="dxa"/>
        </w:tblCellMar>
        <w:tblLook w:val="0000"/>
      </w:tblPr>
      <w:tblGrid>
        <w:gridCol w:w="757"/>
        <w:gridCol w:w="1690"/>
        <w:gridCol w:w="1412"/>
        <w:gridCol w:w="990"/>
        <w:gridCol w:w="1806"/>
        <w:gridCol w:w="1035"/>
        <w:gridCol w:w="1157"/>
        <w:gridCol w:w="1079"/>
      </w:tblGrid>
      <w:tr w:rsidR="00822681">
        <w:trPr>
          <w:cantSplit/>
          <w:trHeight w:val="555"/>
        </w:trPr>
        <w:tc>
          <w:tcPr>
            <w:tcW w:w="75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sidRPr="00E717D1">
              <w:rPr>
                <w:b/>
                <w:bCs/>
                <w:sz w:val="20"/>
                <w:szCs w:val="20"/>
                <w:highlight w:val="yellow"/>
                <w:lang w:val="en-GB"/>
              </w:rPr>
              <w:t>YEAR</w:t>
            </w:r>
          </w:p>
          <w:p w:rsidR="00822681" w:rsidRDefault="00822681">
            <w:pPr>
              <w:pStyle w:val="NormalWeb"/>
              <w:spacing w:before="0" w:beforeAutospacing="0" w:after="0" w:afterAutospacing="0"/>
              <w:ind w:right="26"/>
              <w:jc w:val="both"/>
              <w:rPr>
                <w:sz w:val="20"/>
                <w:szCs w:val="20"/>
                <w:lang w:val="en-GB"/>
              </w:rPr>
            </w:pPr>
          </w:p>
        </w:tc>
        <w:tc>
          <w:tcPr>
            <w:tcW w:w="169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 xml:space="preserve">INSPECTIONS AND REINSPECTIONS </w:t>
            </w:r>
          </w:p>
        </w:tc>
        <w:tc>
          <w:tcPr>
            <w:tcW w:w="420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 xml:space="preserve">SANCTIONS </w:t>
            </w:r>
          </w:p>
        </w:tc>
        <w:tc>
          <w:tcPr>
            <w:tcW w:w="327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LABOUR DISPUTES (CONCILIATION PROCEDURE)</w:t>
            </w:r>
          </w:p>
        </w:tc>
      </w:tr>
      <w:tr w:rsidR="00822681">
        <w:trPr>
          <w:cantSplit/>
          <w:trHeight w:val="465"/>
        </w:trPr>
        <w:tc>
          <w:tcPr>
            <w:tcW w:w="757" w:type="dxa"/>
            <w:vMerge/>
            <w:tcBorders>
              <w:top w:val="single" w:sz="4" w:space="0" w:color="auto"/>
              <w:left w:val="single" w:sz="4" w:space="0" w:color="auto"/>
              <w:bottom w:val="single" w:sz="4" w:space="0" w:color="auto"/>
              <w:right w:val="single" w:sz="4" w:space="0" w:color="auto"/>
            </w:tcBorders>
          </w:tcPr>
          <w:p w:rsidR="00822681" w:rsidRDefault="00822681">
            <w:pPr>
              <w:pStyle w:val="NormalWeb"/>
              <w:spacing w:before="0" w:beforeAutospacing="0" w:after="0" w:afterAutospacing="0"/>
              <w:ind w:right="26"/>
              <w:jc w:val="both"/>
              <w:rPr>
                <w:b/>
                <w:bCs/>
                <w:sz w:val="20"/>
                <w:szCs w:val="20"/>
                <w:lang w:val="en-GB"/>
              </w:rPr>
            </w:pPr>
          </w:p>
        </w:tc>
        <w:tc>
          <w:tcPr>
            <w:tcW w:w="1690" w:type="dxa"/>
            <w:vMerge/>
            <w:tcBorders>
              <w:top w:val="single" w:sz="4" w:space="0" w:color="auto"/>
              <w:left w:val="single" w:sz="4" w:space="0" w:color="auto"/>
              <w:bottom w:val="single" w:sz="4" w:space="0" w:color="auto"/>
              <w:right w:val="single" w:sz="4" w:space="0" w:color="auto"/>
            </w:tcBorders>
          </w:tcPr>
          <w:p w:rsidR="00822681" w:rsidRDefault="00822681">
            <w:pPr>
              <w:pStyle w:val="NormalWeb"/>
              <w:spacing w:before="0" w:beforeAutospacing="0" w:after="0" w:afterAutospacing="0"/>
              <w:ind w:right="26"/>
              <w:jc w:val="both"/>
              <w:rPr>
                <w:b/>
                <w:bCs/>
                <w:sz w:val="20"/>
                <w:szCs w:val="20"/>
                <w:lang w:val="en-GB"/>
              </w:rPr>
            </w:pPr>
          </w:p>
        </w:tc>
        <w:tc>
          <w:tcPr>
            <w:tcW w:w="1412"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COMPLAINTS</w:t>
            </w:r>
          </w:p>
        </w:tc>
        <w:tc>
          <w:tcPr>
            <w:tcW w:w="99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IMPOSED FINES</w:t>
            </w:r>
          </w:p>
        </w:tc>
        <w:tc>
          <w:tcPr>
            <w:tcW w:w="1806"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IMPOSED FINES IN AMOUNTS (EUROS)</w:t>
            </w:r>
          </w:p>
        </w:tc>
        <w:tc>
          <w:tcPr>
            <w:tcW w:w="103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LABOUR DISPUTES</w:t>
            </w:r>
          </w:p>
        </w:tc>
        <w:tc>
          <w:tcPr>
            <w:tcW w:w="115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RESOLVED LABOUR DISPUTES</w:t>
            </w:r>
          </w:p>
        </w:tc>
        <w:tc>
          <w:tcPr>
            <w:tcW w:w="107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 xml:space="preserve">   PAID AMOUNTS</w:t>
            </w:r>
          </w:p>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 xml:space="preserve">  (EUROS)</w:t>
            </w:r>
          </w:p>
        </w:tc>
      </w:tr>
      <w:tr w:rsidR="00822681">
        <w:trPr>
          <w:cantSplit/>
          <w:trHeight w:val="640"/>
        </w:trPr>
        <w:tc>
          <w:tcPr>
            <w:tcW w:w="757" w:type="dxa"/>
            <w:vMerge/>
            <w:tcBorders>
              <w:top w:val="single" w:sz="4" w:space="0" w:color="auto"/>
              <w:left w:val="single" w:sz="4" w:space="0" w:color="auto"/>
              <w:bottom w:val="single" w:sz="4" w:space="0" w:color="auto"/>
              <w:right w:val="single" w:sz="4" w:space="0" w:color="auto"/>
            </w:tcBorders>
            <w:vAlign w:val="center"/>
          </w:tcPr>
          <w:p w:rsidR="00822681" w:rsidRDefault="00822681">
            <w:pPr>
              <w:pStyle w:val="NormalWeb"/>
              <w:spacing w:before="0" w:beforeAutospacing="0" w:after="0" w:afterAutospacing="0"/>
              <w:ind w:right="26"/>
              <w:jc w:val="both"/>
              <w:rPr>
                <w:b/>
                <w:bCs/>
                <w:sz w:val="20"/>
                <w:szCs w:val="20"/>
                <w:lang w:val="en-GB"/>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822681" w:rsidRDefault="00822681">
            <w:pPr>
              <w:pStyle w:val="NormalWeb"/>
              <w:spacing w:before="0" w:beforeAutospacing="0" w:after="0" w:afterAutospacing="0"/>
              <w:ind w:right="26"/>
              <w:jc w:val="both"/>
              <w:rPr>
                <w:b/>
                <w:bCs/>
                <w:sz w:val="20"/>
                <w:szCs w:val="20"/>
                <w:lang w:val="en-GB"/>
              </w:rPr>
            </w:pPr>
          </w:p>
        </w:tc>
        <w:tc>
          <w:tcPr>
            <w:tcW w:w="1412" w:type="dxa"/>
            <w:vMerge/>
            <w:tcBorders>
              <w:top w:val="single" w:sz="4" w:space="0" w:color="auto"/>
              <w:left w:val="single" w:sz="4" w:space="0" w:color="auto"/>
              <w:bottom w:val="single" w:sz="4" w:space="0" w:color="000000"/>
              <w:right w:val="single" w:sz="4" w:space="0" w:color="000000"/>
            </w:tcBorders>
            <w:vAlign w:val="center"/>
          </w:tcPr>
          <w:p w:rsidR="00822681" w:rsidRDefault="00822681">
            <w:pPr>
              <w:pStyle w:val="NormalWeb"/>
              <w:spacing w:before="0" w:beforeAutospacing="0" w:after="0" w:afterAutospacing="0"/>
              <w:ind w:right="26"/>
              <w:jc w:val="both"/>
              <w:rPr>
                <w:b/>
                <w:bCs/>
                <w:sz w:val="20"/>
                <w:szCs w:val="20"/>
                <w:lang w:val="en-GB"/>
              </w:rPr>
            </w:pPr>
          </w:p>
        </w:tc>
        <w:tc>
          <w:tcPr>
            <w:tcW w:w="990" w:type="dxa"/>
            <w:vMerge/>
            <w:tcBorders>
              <w:top w:val="nil"/>
              <w:left w:val="single" w:sz="4" w:space="0" w:color="auto"/>
              <w:bottom w:val="single" w:sz="4" w:space="0" w:color="000000"/>
              <w:right w:val="single" w:sz="4" w:space="0" w:color="auto"/>
            </w:tcBorders>
            <w:vAlign w:val="center"/>
          </w:tcPr>
          <w:p w:rsidR="00822681" w:rsidRDefault="00822681">
            <w:pPr>
              <w:pStyle w:val="NormalWeb"/>
              <w:spacing w:before="0" w:beforeAutospacing="0" w:after="0" w:afterAutospacing="0"/>
              <w:ind w:right="26"/>
              <w:jc w:val="both"/>
              <w:rPr>
                <w:b/>
                <w:bCs/>
                <w:sz w:val="20"/>
                <w:szCs w:val="20"/>
                <w:lang w:val="en-GB"/>
              </w:rPr>
            </w:pPr>
          </w:p>
        </w:tc>
        <w:tc>
          <w:tcPr>
            <w:tcW w:w="1806" w:type="dxa"/>
            <w:vMerge/>
            <w:tcBorders>
              <w:top w:val="nil"/>
              <w:left w:val="single" w:sz="4" w:space="0" w:color="auto"/>
              <w:bottom w:val="single" w:sz="4" w:space="0" w:color="000000"/>
              <w:right w:val="single" w:sz="4" w:space="0" w:color="auto"/>
            </w:tcBorders>
            <w:vAlign w:val="center"/>
          </w:tcPr>
          <w:p w:rsidR="00822681" w:rsidRDefault="00822681">
            <w:pPr>
              <w:pStyle w:val="NormalWeb"/>
              <w:spacing w:before="0" w:beforeAutospacing="0" w:after="0" w:afterAutospacing="0"/>
              <w:ind w:right="26"/>
              <w:jc w:val="both"/>
              <w:rPr>
                <w:b/>
                <w:bCs/>
                <w:sz w:val="20"/>
                <w:szCs w:val="20"/>
                <w:lang w:val="en-GB"/>
              </w:rPr>
            </w:pPr>
          </w:p>
        </w:tc>
        <w:tc>
          <w:tcPr>
            <w:tcW w:w="1035" w:type="dxa"/>
            <w:vMerge/>
            <w:tcBorders>
              <w:top w:val="nil"/>
              <w:left w:val="single" w:sz="4" w:space="0" w:color="auto"/>
              <w:bottom w:val="single" w:sz="4" w:space="0" w:color="auto"/>
              <w:right w:val="single" w:sz="4" w:space="0" w:color="auto"/>
            </w:tcBorders>
            <w:vAlign w:val="center"/>
          </w:tcPr>
          <w:p w:rsidR="00822681" w:rsidRDefault="00822681">
            <w:pPr>
              <w:pStyle w:val="NormalWeb"/>
              <w:spacing w:before="0" w:beforeAutospacing="0" w:after="0" w:afterAutospacing="0"/>
              <w:ind w:right="26"/>
              <w:jc w:val="both"/>
              <w:rPr>
                <w:b/>
                <w:bCs/>
                <w:sz w:val="20"/>
                <w:szCs w:val="20"/>
                <w:lang w:val="en-GB"/>
              </w:rPr>
            </w:pPr>
          </w:p>
        </w:tc>
        <w:tc>
          <w:tcPr>
            <w:tcW w:w="1157" w:type="dxa"/>
            <w:vMerge/>
            <w:tcBorders>
              <w:top w:val="nil"/>
              <w:left w:val="single" w:sz="4" w:space="0" w:color="auto"/>
              <w:bottom w:val="single" w:sz="4" w:space="0" w:color="auto"/>
              <w:right w:val="single" w:sz="4" w:space="0" w:color="auto"/>
            </w:tcBorders>
            <w:vAlign w:val="center"/>
          </w:tcPr>
          <w:p w:rsidR="00822681" w:rsidRDefault="00822681">
            <w:pPr>
              <w:pStyle w:val="NormalWeb"/>
              <w:spacing w:before="0" w:beforeAutospacing="0" w:after="0" w:afterAutospacing="0"/>
              <w:ind w:right="26"/>
              <w:jc w:val="both"/>
              <w:rPr>
                <w:b/>
                <w:bCs/>
                <w:sz w:val="20"/>
                <w:szCs w:val="20"/>
                <w:lang w:val="en-GB"/>
              </w:rPr>
            </w:pPr>
          </w:p>
        </w:tc>
        <w:tc>
          <w:tcPr>
            <w:tcW w:w="1079" w:type="dxa"/>
            <w:vMerge/>
            <w:tcBorders>
              <w:top w:val="nil"/>
              <w:left w:val="single" w:sz="4" w:space="0" w:color="auto"/>
              <w:bottom w:val="single" w:sz="4" w:space="0" w:color="auto"/>
              <w:right w:val="single" w:sz="4" w:space="0" w:color="auto"/>
            </w:tcBorders>
            <w:vAlign w:val="center"/>
          </w:tcPr>
          <w:p w:rsidR="00822681" w:rsidRDefault="00822681">
            <w:pPr>
              <w:pStyle w:val="NormalWeb"/>
              <w:spacing w:before="0" w:beforeAutospacing="0" w:after="0" w:afterAutospacing="0"/>
              <w:ind w:right="26"/>
              <w:jc w:val="both"/>
              <w:rPr>
                <w:b/>
                <w:bCs/>
                <w:sz w:val="20"/>
                <w:szCs w:val="20"/>
                <w:lang w:val="en-GB"/>
              </w:rPr>
            </w:pPr>
          </w:p>
        </w:tc>
      </w:tr>
      <w:tr w:rsidR="00822681">
        <w:trPr>
          <w:trHeight w:val="525"/>
        </w:trPr>
        <w:tc>
          <w:tcPr>
            <w:tcW w:w="7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2005</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29.646</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2.390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5.161</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rsidP="0028487F">
            <w:pPr>
              <w:pStyle w:val="NormalWeb"/>
              <w:spacing w:before="0" w:beforeAutospacing="0" w:after="0" w:afterAutospacing="0"/>
              <w:ind w:right="26"/>
              <w:jc w:val="both"/>
              <w:rPr>
                <w:sz w:val="20"/>
                <w:szCs w:val="20"/>
                <w:lang w:val="en-GB"/>
              </w:rPr>
            </w:pPr>
            <w:r>
              <w:rPr>
                <w:sz w:val="20"/>
                <w:szCs w:val="20"/>
                <w:lang w:val="en-GB"/>
              </w:rPr>
              <w:t xml:space="preserve">                   5.346.170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16.378</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7.974</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9.492.008</w:t>
            </w:r>
          </w:p>
        </w:tc>
      </w:tr>
      <w:tr w:rsidR="00822681">
        <w:trPr>
          <w:trHeight w:val="390"/>
        </w:trPr>
        <w:tc>
          <w:tcPr>
            <w:tcW w:w="7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2006</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31.630</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2.311</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5.133</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rsidP="0028487F">
            <w:pPr>
              <w:pStyle w:val="NormalWeb"/>
              <w:spacing w:before="0" w:beforeAutospacing="0" w:after="0" w:afterAutospacing="0"/>
              <w:ind w:right="26"/>
              <w:jc w:val="both"/>
              <w:rPr>
                <w:sz w:val="20"/>
                <w:szCs w:val="20"/>
                <w:lang w:val="en-GB"/>
              </w:rPr>
            </w:pPr>
            <w:r>
              <w:rPr>
                <w:sz w:val="20"/>
                <w:szCs w:val="20"/>
                <w:lang w:val="en-GB"/>
              </w:rPr>
              <w:t xml:space="preserve">                 10.639.176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15.510</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7.586</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9.473.760</w:t>
            </w:r>
          </w:p>
        </w:tc>
      </w:tr>
      <w:tr w:rsidR="00822681">
        <w:trPr>
          <w:trHeight w:val="435"/>
        </w:trPr>
        <w:tc>
          <w:tcPr>
            <w:tcW w:w="7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2007</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35.805</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2.126</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5.724</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rsidP="0028487F">
            <w:pPr>
              <w:pStyle w:val="NormalWeb"/>
              <w:spacing w:before="0" w:beforeAutospacing="0" w:after="0" w:afterAutospacing="0"/>
              <w:ind w:right="26"/>
              <w:jc w:val="both"/>
              <w:rPr>
                <w:sz w:val="20"/>
                <w:szCs w:val="20"/>
                <w:lang w:val="en-GB"/>
              </w:rPr>
            </w:pPr>
            <w:r>
              <w:rPr>
                <w:sz w:val="20"/>
                <w:szCs w:val="20"/>
                <w:lang w:val="en-GB"/>
              </w:rPr>
              <w:t xml:space="preserve">                 11.803.786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15.123</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7.102</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10.453.543</w:t>
            </w:r>
          </w:p>
        </w:tc>
      </w:tr>
      <w:tr w:rsidR="00822681">
        <w:trPr>
          <w:trHeight w:val="450"/>
        </w:trPr>
        <w:tc>
          <w:tcPr>
            <w:tcW w:w="7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2008</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28.538</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2.280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5.440</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rsidP="0028487F">
            <w:pPr>
              <w:pStyle w:val="NormalWeb"/>
              <w:spacing w:before="0" w:beforeAutospacing="0" w:after="0" w:afterAutospacing="0"/>
              <w:ind w:right="26"/>
              <w:jc w:val="both"/>
              <w:rPr>
                <w:sz w:val="20"/>
                <w:szCs w:val="20"/>
                <w:lang w:val="en-GB"/>
              </w:rPr>
            </w:pPr>
            <w:r>
              <w:rPr>
                <w:sz w:val="20"/>
                <w:szCs w:val="20"/>
                <w:lang w:val="en-GB"/>
              </w:rPr>
              <w:t xml:space="preserve">                   9.814.500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15.898</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7.698</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11.188.804</w:t>
            </w:r>
          </w:p>
        </w:tc>
      </w:tr>
      <w:tr w:rsidR="00822681">
        <w:trPr>
          <w:trHeight w:val="555"/>
        </w:trPr>
        <w:tc>
          <w:tcPr>
            <w:tcW w:w="75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2009</w:t>
            </w:r>
          </w:p>
        </w:tc>
        <w:tc>
          <w:tcPr>
            <w:tcW w:w="16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28.082</w:t>
            </w:r>
          </w:p>
        </w:tc>
        <w:tc>
          <w:tcPr>
            <w:tcW w:w="1412"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3.475</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5.679</w:t>
            </w:r>
          </w:p>
        </w:tc>
        <w:tc>
          <w:tcPr>
            <w:tcW w:w="180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rsidP="0028487F">
            <w:pPr>
              <w:pStyle w:val="NormalWeb"/>
              <w:spacing w:before="0" w:beforeAutospacing="0" w:after="0" w:afterAutospacing="0"/>
              <w:ind w:right="26"/>
              <w:jc w:val="both"/>
              <w:rPr>
                <w:sz w:val="20"/>
                <w:szCs w:val="20"/>
                <w:lang w:val="en-GB"/>
              </w:rPr>
            </w:pPr>
            <w:r>
              <w:rPr>
                <w:sz w:val="20"/>
                <w:szCs w:val="20"/>
                <w:lang w:val="en-GB"/>
              </w:rPr>
              <w:t xml:space="preserve">                 10.885.952   </w:t>
            </w:r>
          </w:p>
        </w:tc>
        <w:tc>
          <w:tcPr>
            <w:tcW w:w="103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20.550</w:t>
            </w:r>
          </w:p>
        </w:tc>
        <w:tc>
          <w:tcPr>
            <w:tcW w:w="115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10.039</w:t>
            </w:r>
          </w:p>
        </w:tc>
        <w:tc>
          <w:tcPr>
            <w:tcW w:w="10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17.524.702</w:t>
            </w:r>
          </w:p>
        </w:tc>
      </w:tr>
      <w:tr w:rsidR="00822681">
        <w:trPr>
          <w:trHeight w:val="555"/>
        </w:trPr>
        <w:tc>
          <w:tcPr>
            <w:tcW w:w="75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2010</w:t>
            </w:r>
          </w:p>
        </w:tc>
        <w:tc>
          <w:tcPr>
            <w:tcW w:w="16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30.965</w:t>
            </w:r>
          </w:p>
        </w:tc>
        <w:tc>
          <w:tcPr>
            <w:tcW w:w="1412"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3.585</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7.165</w:t>
            </w:r>
          </w:p>
        </w:tc>
        <w:tc>
          <w:tcPr>
            <w:tcW w:w="180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rsidP="0028487F">
            <w:pPr>
              <w:pStyle w:val="NormalWeb"/>
              <w:spacing w:before="0" w:beforeAutospacing="0" w:after="0" w:afterAutospacing="0"/>
              <w:ind w:right="26"/>
              <w:jc w:val="right"/>
              <w:rPr>
                <w:sz w:val="20"/>
                <w:szCs w:val="20"/>
                <w:lang w:val="en-GB"/>
              </w:rPr>
            </w:pPr>
            <w:r>
              <w:rPr>
                <w:sz w:val="20"/>
                <w:szCs w:val="20"/>
                <w:lang w:val="en-GB"/>
              </w:rPr>
              <w:t>13.144.900</w:t>
            </w:r>
          </w:p>
        </w:tc>
        <w:tc>
          <w:tcPr>
            <w:tcW w:w="103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20.555</w:t>
            </w:r>
          </w:p>
        </w:tc>
        <w:tc>
          <w:tcPr>
            <w:tcW w:w="115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9.435</w:t>
            </w:r>
          </w:p>
        </w:tc>
        <w:tc>
          <w:tcPr>
            <w:tcW w:w="10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sz w:val="20"/>
                <w:szCs w:val="20"/>
                <w:lang w:val="en-GB"/>
              </w:rPr>
            </w:pPr>
            <w:r>
              <w:rPr>
                <w:sz w:val="20"/>
                <w:szCs w:val="20"/>
                <w:lang w:val="en-GB"/>
              </w:rPr>
              <w:t>20.699.232</w:t>
            </w:r>
          </w:p>
        </w:tc>
      </w:tr>
      <w:tr w:rsidR="00E333D2">
        <w:trPr>
          <w:trHeight w:val="555"/>
        </w:trPr>
        <w:tc>
          <w:tcPr>
            <w:tcW w:w="75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333D2" w:rsidRDefault="00E333D2">
            <w:pPr>
              <w:pStyle w:val="NormalWeb"/>
              <w:spacing w:before="0" w:beforeAutospacing="0" w:after="0" w:afterAutospacing="0"/>
              <w:ind w:right="26"/>
              <w:jc w:val="both"/>
              <w:rPr>
                <w:b/>
                <w:bCs/>
                <w:sz w:val="20"/>
                <w:szCs w:val="20"/>
                <w:lang w:val="en-GB"/>
              </w:rPr>
            </w:pPr>
            <w:r>
              <w:rPr>
                <w:b/>
                <w:bCs/>
                <w:sz w:val="20"/>
                <w:szCs w:val="20"/>
                <w:lang w:val="en-GB"/>
              </w:rPr>
              <w:t>2011</w:t>
            </w:r>
          </w:p>
        </w:tc>
        <w:tc>
          <w:tcPr>
            <w:tcW w:w="16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E333D2" w:rsidRDefault="00E333D2">
            <w:pPr>
              <w:pStyle w:val="NormalWeb"/>
              <w:spacing w:before="0" w:beforeAutospacing="0" w:after="0" w:afterAutospacing="0"/>
              <w:ind w:right="26"/>
              <w:jc w:val="both"/>
              <w:rPr>
                <w:sz w:val="20"/>
                <w:szCs w:val="20"/>
                <w:lang w:val="en-GB"/>
              </w:rPr>
            </w:pPr>
            <w:r>
              <w:rPr>
                <w:sz w:val="20"/>
                <w:szCs w:val="20"/>
                <w:lang w:val="en-GB"/>
              </w:rPr>
              <w:t>31.515</w:t>
            </w:r>
          </w:p>
        </w:tc>
        <w:tc>
          <w:tcPr>
            <w:tcW w:w="1412"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E333D2" w:rsidRDefault="00E333D2">
            <w:pPr>
              <w:pStyle w:val="NormalWeb"/>
              <w:spacing w:before="0" w:beforeAutospacing="0" w:after="0" w:afterAutospacing="0"/>
              <w:ind w:right="26"/>
              <w:jc w:val="both"/>
              <w:rPr>
                <w:sz w:val="20"/>
                <w:szCs w:val="20"/>
                <w:lang w:val="en-GB"/>
              </w:rPr>
            </w:pPr>
            <w:r>
              <w:rPr>
                <w:sz w:val="20"/>
                <w:szCs w:val="20"/>
                <w:lang w:val="en-GB"/>
              </w:rPr>
              <w:t>4.003</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E333D2" w:rsidRDefault="00E333D2">
            <w:pPr>
              <w:pStyle w:val="NormalWeb"/>
              <w:spacing w:before="0" w:beforeAutospacing="0" w:after="0" w:afterAutospacing="0"/>
              <w:ind w:right="26"/>
              <w:jc w:val="both"/>
              <w:rPr>
                <w:sz w:val="20"/>
                <w:szCs w:val="20"/>
                <w:lang w:val="en-GB"/>
              </w:rPr>
            </w:pPr>
            <w:r>
              <w:rPr>
                <w:sz w:val="20"/>
                <w:szCs w:val="20"/>
                <w:lang w:val="en-GB"/>
              </w:rPr>
              <w:t>3.738</w:t>
            </w:r>
          </w:p>
        </w:tc>
        <w:tc>
          <w:tcPr>
            <w:tcW w:w="180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E333D2" w:rsidRDefault="00E333D2" w:rsidP="0028487F">
            <w:pPr>
              <w:pStyle w:val="NormalWeb"/>
              <w:spacing w:before="0" w:beforeAutospacing="0" w:after="0" w:afterAutospacing="0"/>
              <w:ind w:right="26"/>
              <w:jc w:val="right"/>
              <w:rPr>
                <w:sz w:val="20"/>
                <w:szCs w:val="20"/>
                <w:lang w:val="en-GB"/>
              </w:rPr>
            </w:pPr>
            <w:r>
              <w:rPr>
                <w:sz w:val="20"/>
                <w:szCs w:val="20"/>
                <w:lang w:val="en-GB"/>
              </w:rPr>
              <w:t>10.937.438</w:t>
            </w:r>
          </w:p>
        </w:tc>
        <w:tc>
          <w:tcPr>
            <w:tcW w:w="103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E333D2" w:rsidRDefault="00E333D2">
            <w:pPr>
              <w:pStyle w:val="NormalWeb"/>
              <w:spacing w:before="0" w:beforeAutospacing="0" w:after="0" w:afterAutospacing="0"/>
              <w:ind w:right="26"/>
              <w:jc w:val="both"/>
              <w:rPr>
                <w:sz w:val="20"/>
                <w:szCs w:val="20"/>
                <w:lang w:val="en-GB"/>
              </w:rPr>
            </w:pPr>
            <w:r>
              <w:rPr>
                <w:sz w:val="20"/>
                <w:szCs w:val="20"/>
                <w:lang w:val="en-GB"/>
              </w:rPr>
              <w:t>21.345</w:t>
            </w:r>
          </w:p>
        </w:tc>
        <w:tc>
          <w:tcPr>
            <w:tcW w:w="115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E333D2" w:rsidRDefault="00E333D2">
            <w:pPr>
              <w:pStyle w:val="NormalWeb"/>
              <w:spacing w:before="0" w:beforeAutospacing="0" w:after="0" w:afterAutospacing="0"/>
              <w:ind w:right="26"/>
              <w:jc w:val="both"/>
              <w:rPr>
                <w:sz w:val="20"/>
                <w:szCs w:val="20"/>
                <w:lang w:val="en-GB"/>
              </w:rPr>
            </w:pPr>
            <w:r>
              <w:rPr>
                <w:sz w:val="20"/>
                <w:szCs w:val="20"/>
                <w:lang w:val="en-GB"/>
              </w:rPr>
              <w:t>9.843</w:t>
            </w:r>
          </w:p>
        </w:tc>
        <w:tc>
          <w:tcPr>
            <w:tcW w:w="10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E333D2" w:rsidRDefault="00E333D2">
            <w:pPr>
              <w:pStyle w:val="NormalWeb"/>
              <w:spacing w:before="0" w:beforeAutospacing="0" w:after="0" w:afterAutospacing="0"/>
              <w:ind w:right="26"/>
              <w:jc w:val="both"/>
              <w:rPr>
                <w:sz w:val="20"/>
                <w:szCs w:val="20"/>
                <w:lang w:val="en-GB"/>
              </w:rPr>
            </w:pPr>
            <w:r>
              <w:rPr>
                <w:sz w:val="20"/>
                <w:szCs w:val="20"/>
                <w:lang w:val="en-GB"/>
              </w:rPr>
              <w:t>19.875.037</w:t>
            </w:r>
          </w:p>
        </w:tc>
      </w:tr>
      <w:tr w:rsidR="00822681">
        <w:trPr>
          <w:trHeight w:val="55"/>
        </w:trPr>
        <w:tc>
          <w:tcPr>
            <w:tcW w:w="7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TOTAL</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E333D2">
            <w:pPr>
              <w:pStyle w:val="NormalWeb"/>
              <w:spacing w:before="0" w:beforeAutospacing="0" w:after="0" w:afterAutospacing="0"/>
              <w:ind w:right="26"/>
              <w:jc w:val="both"/>
              <w:rPr>
                <w:b/>
                <w:bCs/>
                <w:sz w:val="20"/>
                <w:szCs w:val="20"/>
                <w:lang w:val="en-GB"/>
              </w:rPr>
            </w:pPr>
            <w:r>
              <w:rPr>
                <w:b/>
                <w:bCs/>
                <w:sz w:val="20"/>
                <w:szCs w:val="20"/>
                <w:lang w:val="en-GB"/>
              </w:rPr>
              <w:t>216.181</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 xml:space="preserve"> </w:t>
            </w:r>
            <w:r w:rsidR="00E333D2">
              <w:rPr>
                <w:b/>
                <w:bCs/>
                <w:sz w:val="20"/>
                <w:szCs w:val="20"/>
                <w:lang w:val="en-GB"/>
              </w:rPr>
              <w:t>20.170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r>
              <w:rPr>
                <w:b/>
                <w:bCs/>
                <w:sz w:val="20"/>
                <w:szCs w:val="20"/>
                <w:lang w:val="en-GB"/>
              </w:rPr>
              <w:t xml:space="preserve"> </w:t>
            </w:r>
            <w:r w:rsidR="00E333D2">
              <w:rPr>
                <w:b/>
                <w:bCs/>
                <w:sz w:val="20"/>
                <w:szCs w:val="20"/>
                <w:lang w:val="en-GB"/>
              </w:rPr>
              <w:t>38.040</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E333D2" w:rsidP="0028487F">
            <w:pPr>
              <w:pStyle w:val="NormalWeb"/>
              <w:spacing w:before="0" w:beforeAutospacing="0" w:after="0" w:afterAutospacing="0"/>
              <w:ind w:right="26"/>
              <w:jc w:val="right"/>
              <w:rPr>
                <w:b/>
                <w:bCs/>
                <w:sz w:val="20"/>
                <w:szCs w:val="20"/>
                <w:lang w:val="en-GB"/>
              </w:rPr>
            </w:pPr>
            <w:r>
              <w:rPr>
                <w:b/>
                <w:bCs/>
                <w:sz w:val="20"/>
                <w:szCs w:val="20"/>
                <w:lang w:val="en-GB"/>
              </w:rPr>
              <w:t>72.571.922</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E333D2">
            <w:pPr>
              <w:pStyle w:val="NormalWeb"/>
              <w:spacing w:before="0" w:beforeAutospacing="0" w:after="0" w:afterAutospacing="0"/>
              <w:ind w:right="26"/>
              <w:jc w:val="both"/>
              <w:rPr>
                <w:b/>
                <w:bCs/>
                <w:sz w:val="20"/>
                <w:szCs w:val="20"/>
                <w:lang w:val="en-GB"/>
              </w:rPr>
            </w:pPr>
            <w:r>
              <w:rPr>
                <w:b/>
                <w:bCs/>
                <w:sz w:val="20"/>
                <w:szCs w:val="20"/>
                <w:lang w:val="en-GB"/>
              </w:rPr>
              <w:t>125.359</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p>
          <w:p w:rsidR="00822681" w:rsidRDefault="0028487F">
            <w:pPr>
              <w:pStyle w:val="NormalWeb"/>
              <w:spacing w:before="0" w:beforeAutospacing="0" w:after="0" w:afterAutospacing="0"/>
              <w:ind w:right="26"/>
              <w:jc w:val="both"/>
              <w:rPr>
                <w:b/>
                <w:bCs/>
                <w:sz w:val="20"/>
                <w:szCs w:val="20"/>
                <w:lang w:val="en-GB"/>
              </w:rPr>
            </w:pPr>
            <w:r>
              <w:rPr>
                <w:b/>
                <w:bCs/>
                <w:sz w:val="20"/>
                <w:szCs w:val="20"/>
                <w:lang w:val="en-GB"/>
              </w:rPr>
              <w:t>59.677</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22681" w:rsidRDefault="00822681">
            <w:pPr>
              <w:pStyle w:val="NormalWeb"/>
              <w:spacing w:before="0" w:beforeAutospacing="0" w:after="0" w:afterAutospacing="0"/>
              <w:ind w:right="26"/>
              <w:jc w:val="both"/>
              <w:rPr>
                <w:b/>
                <w:bCs/>
                <w:sz w:val="20"/>
                <w:szCs w:val="20"/>
                <w:lang w:val="en-GB"/>
              </w:rPr>
            </w:pPr>
          </w:p>
          <w:p w:rsidR="00822681" w:rsidRDefault="00E333D2">
            <w:pPr>
              <w:pStyle w:val="NormalWeb"/>
              <w:spacing w:before="0" w:beforeAutospacing="0" w:after="0" w:afterAutospacing="0"/>
              <w:ind w:right="26"/>
              <w:jc w:val="both"/>
              <w:rPr>
                <w:b/>
                <w:bCs/>
                <w:sz w:val="20"/>
                <w:szCs w:val="20"/>
                <w:lang w:val="en-GB"/>
              </w:rPr>
            </w:pPr>
            <w:r>
              <w:rPr>
                <w:b/>
                <w:bCs/>
                <w:sz w:val="20"/>
                <w:szCs w:val="20"/>
                <w:lang w:val="en-GB"/>
              </w:rPr>
              <w:t>98.707.086</w:t>
            </w:r>
          </w:p>
          <w:p w:rsidR="00822681" w:rsidRDefault="00822681">
            <w:pPr>
              <w:pStyle w:val="NormalWeb"/>
              <w:spacing w:before="0" w:beforeAutospacing="0" w:after="0" w:afterAutospacing="0"/>
              <w:ind w:right="26"/>
              <w:jc w:val="both"/>
              <w:rPr>
                <w:b/>
                <w:bCs/>
                <w:sz w:val="20"/>
                <w:szCs w:val="20"/>
                <w:lang w:val="en-GB"/>
              </w:rPr>
            </w:pPr>
          </w:p>
        </w:tc>
      </w:tr>
    </w:tbl>
    <w:p w:rsidR="00822681" w:rsidRDefault="00822681">
      <w:pPr>
        <w:ind w:right="-154"/>
        <w:jc w:val="both"/>
        <w:rPr>
          <w:lang w:val="en-US"/>
        </w:rPr>
      </w:pPr>
    </w:p>
    <w:p w:rsidR="00822681" w:rsidRPr="00F417A1" w:rsidRDefault="00822681" w:rsidP="00C03113">
      <w:pPr>
        <w:numPr>
          <w:ilvl w:val="0"/>
          <w:numId w:val="43"/>
        </w:numPr>
        <w:ind w:right="26"/>
        <w:jc w:val="both"/>
        <w:rPr>
          <w:szCs w:val="25"/>
          <w:lang w:val="en-US"/>
        </w:rPr>
      </w:pPr>
      <w:r>
        <w:rPr>
          <w:szCs w:val="25"/>
          <w:lang w:val="en-US"/>
        </w:rPr>
        <w:t>It is also to be noted that the European Commun</w:t>
      </w:r>
      <w:r w:rsidR="00F417A1">
        <w:rPr>
          <w:szCs w:val="25"/>
          <w:lang w:val="en-US"/>
        </w:rPr>
        <w:t xml:space="preserve">ity Initiative EQUAL dedicated </w:t>
      </w:r>
      <w:r>
        <w:rPr>
          <w:szCs w:val="25"/>
          <w:lang w:val="en-US"/>
        </w:rPr>
        <w:t xml:space="preserve">a measure </w:t>
      </w:r>
      <w:r w:rsidR="00F417A1">
        <w:rPr>
          <w:szCs w:val="25"/>
          <w:lang w:val="en-US"/>
        </w:rPr>
        <w:t xml:space="preserve">to combating </w:t>
      </w:r>
      <w:r>
        <w:rPr>
          <w:szCs w:val="25"/>
          <w:lang w:val="en-US"/>
        </w:rPr>
        <w:t xml:space="preserve">phenomena of racism and xenophobia and </w:t>
      </w:r>
      <w:r w:rsidR="00F417A1">
        <w:rPr>
          <w:szCs w:val="25"/>
          <w:lang w:val="en-US"/>
        </w:rPr>
        <w:t>promoting</w:t>
      </w:r>
      <w:r>
        <w:rPr>
          <w:szCs w:val="25"/>
          <w:lang w:val="en-US"/>
        </w:rPr>
        <w:t xml:space="preserve">  a diverse society. To this end, legal assistance and support actions for persons suffering from racism are enhanced, in order to enable them to assert their legal rights regarding salary, working conditions, social security, and recognition of professional qualifications. A significant part of the actions of the Community Initiative EQUAL is intended for raising awareness of the general public and opinion leade</w:t>
      </w:r>
      <w:r w:rsidR="00F417A1">
        <w:rPr>
          <w:szCs w:val="25"/>
          <w:lang w:val="en-US"/>
        </w:rPr>
        <w:t xml:space="preserve">rs, social partners and bodies. </w:t>
      </w:r>
      <w:r>
        <w:rPr>
          <w:szCs w:val="25"/>
          <w:lang w:val="en-US"/>
        </w:rPr>
        <w:t xml:space="preserve">This measure has a total budget of 12,429,206€ (public expenditure). The payments effected until 15-08-2008 amounted to 11,224,028.18€, that is, the absorption capacity has reached 90%, while the beneficiaries amounted to 11,309 persons. </w:t>
      </w:r>
    </w:p>
    <w:p w:rsidR="00AC1EA1" w:rsidRDefault="00AC1EA1">
      <w:pPr>
        <w:ind w:right="26"/>
        <w:jc w:val="both"/>
        <w:rPr>
          <w:b/>
          <w:lang w:val="en-US"/>
        </w:rPr>
      </w:pPr>
    </w:p>
    <w:p w:rsidR="00822681" w:rsidRDefault="00822681">
      <w:pPr>
        <w:ind w:right="26"/>
        <w:jc w:val="both"/>
        <w:rPr>
          <w:b/>
          <w:lang w:val="en-US"/>
        </w:rPr>
      </w:pPr>
      <w:r>
        <w:rPr>
          <w:b/>
          <w:lang w:val="en-US"/>
        </w:rPr>
        <w:t>Guarantee of economic, social and cultural rights to non-citizens (para</w:t>
      </w:r>
      <w:r w:rsidR="00361E35">
        <w:rPr>
          <w:b/>
          <w:lang w:val="en-US"/>
        </w:rPr>
        <w:t>s</w:t>
      </w:r>
      <w:r>
        <w:rPr>
          <w:b/>
          <w:lang w:val="en-US"/>
        </w:rPr>
        <w:t>12 and 33 of the Committee’s Concluding Observations)</w:t>
      </w:r>
    </w:p>
    <w:p w:rsidR="00822681" w:rsidRDefault="00822681">
      <w:pPr>
        <w:ind w:right="26"/>
        <w:jc w:val="both"/>
        <w:rPr>
          <w:u w:val="single"/>
          <w:lang w:val="en-US"/>
        </w:rPr>
      </w:pPr>
    </w:p>
    <w:p w:rsidR="00822681" w:rsidRDefault="00822681" w:rsidP="00C03113">
      <w:pPr>
        <w:numPr>
          <w:ilvl w:val="0"/>
          <w:numId w:val="43"/>
        </w:numPr>
        <w:ind w:right="26"/>
        <w:jc w:val="both"/>
        <w:rPr>
          <w:lang w:val="en-US"/>
        </w:rPr>
      </w:pPr>
      <w:r>
        <w:rPr>
          <w:lang w:val="en-US"/>
        </w:rPr>
        <w:t>As already explained in Greece’s comments to the Committee’s Concluding Observations, the Greek Constitution, in the cases where the enjoyment of some economic, social and cultural rights is reserved to Greek citizens, does not prohibit the exercise of the said rights by foreigners, but it refers instead the relevant matters to the legislator. In any case, the legislator is bound to take into account and to fully respect and implement the constitutional provisions relating to the protection of human dignity (Article 2) and the protection of life, honour and freedom of all persons living within Greek territory, without making any distinction whatsoever as to citizenship (Article 5, para</w:t>
      </w:r>
      <w:r w:rsidR="00543B17" w:rsidRPr="00543B17">
        <w:rPr>
          <w:lang w:val="en-GB"/>
        </w:rPr>
        <w:t xml:space="preserve">. </w:t>
      </w:r>
      <w:r>
        <w:rPr>
          <w:lang w:val="en-US"/>
        </w:rPr>
        <w:t xml:space="preserve">2), as well as international treaties on the protection of human rights to the extent that these treaties do not make any distinction between nationals and foreigners. </w:t>
      </w:r>
    </w:p>
    <w:p w:rsidR="00822681" w:rsidRDefault="00822681">
      <w:pPr>
        <w:ind w:right="26"/>
        <w:jc w:val="both"/>
        <w:rPr>
          <w:lang w:val="en-US"/>
        </w:rPr>
      </w:pPr>
    </w:p>
    <w:p w:rsidR="00822681" w:rsidRDefault="00822681" w:rsidP="00C03113">
      <w:pPr>
        <w:numPr>
          <w:ilvl w:val="0"/>
          <w:numId w:val="43"/>
        </w:numPr>
        <w:ind w:right="26"/>
        <w:jc w:val="both"/>
        <w:rPr>
          <w:lang w:val="en-US"/>
        </w:rPr>
      </w:pPr>
      <w:r>
        <w:rPr>
          <w:lang w:val="en-US"/>
        </w:rPr>
        <w:t>Furthermore, in accordance with Article 4 of the Civil Code, a foreign national enjoys the same civil rights that are accorded to Greek citizens. In the same vein, foreign nationals who are holders of a residence permit enjoy the same labour rights and have the same obligations as Greek workers relating to remuneration, working terms and conditions, their social security rights and other financial obligations prescribed by the legislation in force.</w:t>
      </w:r>
    </w:p>
    <w:p w:rsidR="00822681" w:rsidRDefault="00822681">
      <w:pPr>
        <w:ind w:right="26"/>
        <w:jc w:val="both"/>
        <w:rPr>
          <w:lang w:val="en-US"/>
        </w:rPr>
      </w:pPr>
    </w:p>
    <w:p w:rsidR="00822681" w:rsidRDefault="00822681" w:rsidP="00C03113">
      <w:pPr>
        <w:numPr>
          <w:ilvl w:val="0"/>
          <w:numId w:val="43"/>
        </w:numPr>
        <w:ind w:right="26"/>
        <w:jc w:val="both"/>
        <w:rPr>
          <w:lang w:val="en-US"/>
        </w:rPr>
      </w:pPr>
      <w:r>
        <w:rPr>
          <w:lang w:val="en-US"/>
        </w:rPr>
        <w:t xml:space="preserve">It is significant that, in the framework of the revision of the Greek Constitution, neither the NGO community nor constitutional lawyers or other actors of the civil society raised the above issue. </w:t>
      </w:r>
    </w:p>
    <w:p w:rsidR="00822681" w:rsidRDefault="00822681">
      <w:pPr>
        <w:ind w:right="26"/>
        <w:jc w:val="both"/>
        <w:rPr>
          <w:lang w:val="en-US"/>
        </w:rPr>
      </w:pPr>
    </w:p>
    <w:p w:rsidR="00822681" w:rsidRPr="0023082F" w:rsidRDefault="0023082F" w:rsidP="00C03113">
      <w:pPr>
        <w:numPr>
          <w:ilvl w:val="0"/>
          <w:numId w:val="43"/>
        </w:numPr>
        <w:ind w:right="26"/>
        <w:jc w:val="both"/>
        <w:rPr>
          <w:lang w:val="en-US"/>
        </w:rPr>
      </w:pPr>
      <w:r w:rsidRPr="0023082F">
        <w:rPr>
          <w:lang w:val="en-US"/>
        </w:rPr>
        <w:t>With regard to the right to free education mentioned by the Committee, it is to be noted that foreign students enjoy the right to free education in the same way as Greek citizens do. Moreover, every child living in Greece is entit</w:t>
      </w:r>
      <w:r w:rsidR="00F417A1">
        <w:rPr>
          <w:lang w:val="en-US"/>
        </w:rPr>
        <w:t>led to education regardless of t</w:t>
      </w:r>
      <w:r w:rsidRPr="0023082F">
        <w:rPr>
          <w:lang w:val="en-US"/>
        </w:rPr>
        <w:t>heir parent’s / guardian’s legal status in the country.  In view of the above, the issue of the guarantee of economic, social and cultural rights to non-citizens should be examined in the light not only of the text of the relevant constitutional provisions but also of  firmly established Greek law and practice in this field</w:t>
      </w:r>
      <w:r w:rsidR="00F417A1">
        <w:rPr>
          <w:lang w:val="en-US"/>
        </w:rPr>
        <w:t>, under the applicable international human rights treaties</w:t>
      </w:r>
      <w:r w:rsidRPr="0023082F">
        <w:rPr>
          <w:lang w:val="en-US"/>
        </w:rPr>
        <w:t>.</w:t>
      </w:r>
    </w:p>
    <w:p w:rsidR="00822681" w:rsidRDefault="00822681">
      <w:pPr>
        <w:ind w:right="26"/>
        <w:jc w:val="both"/>
        <w:rPr>
          <w:b/>
          <w:lang w:val="en-US"/>
        </w:rPr>
      </w:pPr>
    </w:p>
    <w:p w:rsidR="00822681" w:rsidRDefault="00822681">
      <w:pPr>
        <w:ind w:right="26"/>
        <w:jc w:val="both"/>
        <w:rPr>
          <w:b/>
          <w:lang w:val="en-US"/>
        </w:rPr>
      </w:pPr>
      <w:r>
        <w:rPr>
          <w:b/>
          <w:lang w:val="en-US"/>
        </w:rPr>
        <w:t>Rights of Migrants</w:t>
      </w:r>
    </w:p>
    <w:p w:rsidR="00822681" w:rsidRDefault="00822681" w:rsidP="00C03113">
      <w:pPr>
        <w:widowControl w:val="0"/>
        <w:numPr>
          <w:ilvl w:val="0"/>
          <w:numId w:val="43"/>
        </w:numPr>
        <w:suppressAutoHyphens/>
        <w:spacing w:before="120" w:after="120"/>
        <w:ind w:right="26"/>
        <w:jc w:val="both"/>
        <w:rPr>
          <w:lang w:val="en-US"/>
        </w:rPr>
      </w:pPr>
      <w:r>
        <w:rPr>
          <w:lang w:val="en-US"/>
        </w:rPr>
        <w:t>All persons legally residing in Greece enjoy the same social security rights as Greek nationals, the right to social protection, equal access to services provided by public agencies or entities, local government organizations and public utilities and the right to be admitted in public hospitals and clinics. Furthermore, Greek legislation sets out the conditions for obtaining the long-term resident status, which further extends equal treatment with nationals. At the same time, access to emergency care in hospitals is available to third-country nationals regardless of their residence status. Children who are non-nationals have access to health care institutions, regardless of their residence status or that of their parent.</w:t>
      </w:r>
      <w:r>
        <w:rPr>
          <w:szCs w:val="20"/>
          <w:lang w:val="en-US" w:eastAsia="en-US"/>
        </w:rPr>
        <w:t xml:space="preserve"> </w:t>
      </w:r>
      <w:r w:rsidR="0023082F" w:rsidRPr="0023082F">
        <w:rPr>
          <w:szCs w:val="20"/>
          <w:lang w:val="en-US" w:eastAsia="en-US"/>
        </w:rPr>
        <w:t>Enrolment to public schools of children of refugees, asylum seekers and foreign citizens whose legal residence status is still pending is possible even in the absence of complete documentation.</w:t>
      </w:r>
    </w:p>
    <w:p w:rsidR="00E92CA3" w:rsidRPr="008A41D9" w:rsidRDefault="00E92CA3" w:rsidP="00C03113">
      <w:pPr>
        <w:numPr>
          <w:ilvl w:val="0"/>
          <w:numId w:val="43"/>
        </w:numPr>
        <w:ind w:right="26"/>
        <w:jc w:val="both"/>
        <w:rPr>
          <w:lang w:val="en-GB"/>
        </w:rPr>
      </w:pPr>
      <w:r w:rsidRPr="009F29A3">
        <w:rPr>
          <w:lang w:val="en-US"/>
        </w:rPr>
        <w:t xml:space="preserve">The administrative reform implemented through the </w:t>
      </w:r>
      <w:r w:rsidRPr="00540C78">
        <w:rPr>
          <w:i/>
          <w:lang w:val="en-US"/>
        </w:rPr>
        <w:t>Kallikratis</w:t>
      </w:r>
      <w:r w:rsidRPr="009F29A3">
        <w:rPr>
          <w:lang w:val="en-US"/>
        </w:rPr>
        <w:t xml:space="preserve"> Program </w:t>
      </w:r>
      <w:r w:rsidRPr="009F29A3">
        <w:rPr>
          <w:lang w:val="en-GB"/>
        </w:rPr>
        <w:t>(</w:t>
      </w:r>
      <w:r w:rsidRPr="009F29A3">
        <w:rPr>
          <w:lang w:val="en-US"/>
        </w:rPr>
        <w:t xml:space="preserve">Law </w:t>
      </w:r>
      <w:r w:rsidRPr="00540C78">
        <w:rPr>
          <w:lang w:val="en-US"/>
        </w:rPr>
        <w:t>3852/2010</w:t>
      </w:r>
      <w:r w:rsidRPr="009F29A3">
        <w:rPr>
          <w:lang w:val="en-US"/>
        </w:rPr>
        <w:t xml:space="preserve">, article 78) </w:t>
      </w:r>
      <w:r>
        <w:rPr>
          <w:lang w:val="en-US"/>
        </w:rPr>
        <w:t>provides for</w:t>
      </w:r>
      <w:r w:rsidRPr="009F29A3">
        <w:rPr>
          <w:lang w:val="en-US"/>
        </w:rPr>
        <w:t xml:space="preserve"> the establishment of</w:t>
      </w:r>
      <w:r>
        <w:rPr>
          <w:lang w:val="en-US"/>
        </w:rPr>
        <w:t xml:space="preserve"> M</w:t>
      </w:r>
      <w:r w:rsidRPr="009F29A3">
        <w:rPr>
          <w:lang w:val="en-US"/>
        </w:rPr>
        <w:t>igrant Integration</w:t>
      </w:r>
      <w:r>
        <w:rPr>
          <w:lang w:val="en-US"/>
        </w:rPr>
        <w:t xml:space="preserve"> Councils </w:t>
      </w:r>
      <w:r w:rsidRPr="009F29A3">
        <w:rPr>
          <w:lang w:val="en-US"/>
        </w:rPr>
        <w:t xml:space="preserve"> </w:t>
      </w:r>
      <w:r>
        <w:rPr>
          <w:lang w:val="en-US"/>
        </w:rPr>
        <w:t xml:space="preserve">(MIC) </w:t>
      </w:r>
      <w:r w:rsidRPr="009F29A3">
        <w:rPr>
          <w:lang w:val="en-US"/>
        </w:rPr>
        <w:t xml:space="preserve">within the territorial limits of municipalities.  Their role consists in identifying integration problems encountered by third country nationals and subsequently </w:t>
      </w:r>
      <w:r w:rsidRPr="009F29A3">
        <w:rPr>
          <w:lang w:val="en-US"/>
        </w:rPr>
        <w:lastRenderedPageBreak/>
        <w:t xml:space="preserve">submitting relevant proposals for the smooth integration of local migrant populations. The </w:t>
      </w:r>
      <w:r>
        <w:rPr>
          <w:lang w:val="en-US"/>
        </w:rPr>
        <w:t>M</w:t>
      </w:r>
      <w:r w:rsidRPr="009F29A3">
        <w:rPr>
          <w:lang w:val="en-US"/>
        </w:rPr>
        <w:t>igrant Integration</w:t>
      </w:r>
      <w:r>
        <w:rPr>
          <w:lang w:val="en-US"/>
        </w:rPr>
        <w:t xml:space="preserve"> </w:t>
      </w:r>
      <w:r w:rsidRPr="009F29A3">
        <w:rPr>
          <w:lang w:val="en-US"/>
        </w:rPr>
        <w:t>Councils</w:t>
      </w:r>
      <w:r>
        <w:rPr>
          <w:lang w:val="en-US"/>
        </w:rPr>
        <w:t xml:space="preserve"> (MIC)</w:t>
      </w:r>
      <w:r w:rsidRPr="009F29A3">
        <w:rPr>
          <w:lang w:val="en-US"/>
        </w:rPr>
        <w:t xml:space="preserve"> are composed of municipal counselors, representatives from local immigrant communities and members of other social entities. During the last few months,</w:t>
      </w:r>
      <w:r>
        <w:rPr>
          <w:lang w:val="en-US"/>
        </w:rPr>
        <w:t xml:space="preserve"> 136 </w:t>
      </w:r>
      <w:r w:rsidRPr="009F29A3">
        <w:rPr>
          <w:lang w:val="en-US"/>
        </w:rPr>
        <w:t xml:space="preserve"> </w:t>
      </w:r>
      <w:r>
        <w:rPr>
          <w:lang w:val="en-US"/>
        </w:rPr>
        <w:t>M</w:t>
      </w:r>
      <w:r w:rsidRPr="009F29A3">
        <w:rPr>
          <w:lang w:val="en-US"/>
        </w:rPr>
        <w:t>igrant</w:t>
      </w:r>
      <w:r>
        <w:rPr>
          <w:lang w:val="en-US"/>
        </w:rPr>
        <w:t xml:space="preserve">  </w:t>
      </w:r>
      <w:r w:rsidRPr="009F29A3">
        <w:rPr>
          <w:lang w:val="en-US"/>
        </w:rPr>
        <w:t>Integration Councils</w:t>
      </w:r>
      <w:r>
        <w:rPr>
          <w:lang w:val="en-US"/>
        </w:rPr>
        <w:t xml:space="preserve"> (MIC)</w:t>
      </w:r>
      <w:r w:rsidRPr="009F29A3">
        <w:rPr>
          <w:lang w:val="en-US"/>
        </w:rPr>
        <w:t xml:space="preserve"> have been established</w:t>
      </w:r>
      <w:r>
        <w:rPr>
          <w:lang w:val="en-US"/>
        </w:rPr>
        <w:t xml:space="preserve"> all around the country including</w:t>
      </w:r>
      <w:r w:rsidRPr="009F29A3">
        <w:rPr>
          <w:lang w:val="en-US"/>
        </w:rPr>
        <w:t xml:space="preserve"> the big urban centers of Greece, </w:t>
      </w:r>
      <w:r>
        <w:rPr>
          <w:lang w:val="en-US"/>
        </w:rPr>
        <w:t>such as</w:t>
      </w:r>
      <w:r w:rsidRPr="009F29A3">
        <w:rPr>
          <w:lang w:val="en-US"/>
        </w:rPr>
        <w:t xml:space="preserve"> Athens and </w:t>
      </w:r>
      <w:r>
        <w:rPr>
          <w:lang w:val="en-US"/>
        </w:rPr>
        <w:t>Thessaloniki</w:t>
      </w:r>
      <w:r w:rsidRPr="009F29A3">
        <w:rPr>
          <w:lang w:val="en-US"/>
        </w:rPr>
        <w:t xml:space="preserve">. Their establishment and everyday running has been supported by actions taken in the context of the European Integration Fund of third country nationals (EIF). </w:t>
      </w:r>
    </w:p>
    <w:p w:rsidR="00822681" w:rsidRDefault="00822681">
      <w:pPr>
        <w:ind w:right="26"/>
        <w:jc w:val="both"/>
        <w:rPr>
          <w:lang w:val="en-GB"/>
        </w:rPr>
      </w:pPr>
    </w:p>
    <w:p w:rsidR="00E92CA3" w:rsidRDefault="00822681" w:rsidP="00C03113">
      <w:pPr>
        <w:numPr>
          <w:ilvl w:val="0"/>
          <w:numId w:val="43"/>
        </w:numPr>
        <w:ind w:right="26"/>
        <w:jc w:val="both"/>
        <w:rPr>
          <w:lang w:val="en-US"/>
        </w:rPr>
      </w:pPr>
      <w:r>
        <w:rPr>
          <w:lang w:val="en-US"/>
        </w:rPr>
        <w:t xml:space="preserve">Law 3838/2010 provides for the first time legally residing immigrants and foreign nationals of Greek origin with the right to vote and stand for election at local elections. Furthermore, the same Law introduces, </w:t>
      </w:r>
      <w:r>
        <w:rPr>
          <w:i/>
          <w:lang w:val="en-US"/>
        </w:rPr>
        <w:t>inter alia</w:t>
      </w:r>
      <w:r>
        <w:rPr>
          <w:lang w:val="en-US"/>
        </w:rPr>
        <w:t xml:space="preserve">, new provisions on the acquisition of Greek citizenship. The most important innovations include: 1) the acquisition of the Greek citizenship by birth for third generation immigrants, </w:t>
      </w:r>
      <w:r w:rsidR="00790939" w:rsidRPr="00790939">
        <w:rPr>
          <w:lang w:val="en-US"/>
        </w:rPr>
        <w:t>2) the right for second generation immigrants to acquire the citizenship either by birth, or after having successfully attended six years in the Greek educational system.</w:t>
      </w:r>
      <w:r>
        <w:rPr>
          <w:lang w:val="en-US"/>
        </w:rPr>
        <w:t xml:space="preserve"> During the last year, Special Committees for the Acquisition of Greek Citizenship have been established in order to examine the high volumes of applications and already more than 1000 second and third generation migrants have become Greek citizens. </w:t>
      </w:r>
      <w:r w:rsidR="00E92CA3">
        <w:rPr>
          <w:lang w:val="en-US"/>
        </w:rPr>
        <w:t xml:space="preserve">However, it has to be noted that Law 3838/2012 has been judged as unconstitutional by the Fourth </w:t>
      </w:r>
      <w:r w:rsidR="00B55048">
        <w:rPr>
          <w:lang w:val="en-US"/>
        </w:rPr>
        <w:t>Section</w:t>
      </w:r>
      <w:r w:rsidR="00E92CA3">
        <w:rPr>
          <w:lang w:val="en-US"/>
        </w:rPr>
        <w:t xml:space="preserve"> of the Council of the State and a final decision is expected to be concluded by the Council of State’s Grand Chamber.</w:t>
      </w:r>
      <w:r w:rsidR="00E92CA3" w:rsidRPr="009F29A3">
        <w:rPr>
          <w:lang w:val="en-US"/>
        </w:rPr>
        <w:t xml:space="preserve"> </w:t>
      </w:r>
    </w:p>
    <w:p w:rsidR="00E92CA3" w:rsidRDefault="00E92CA3" w:rsidP="00E92CA3">
      <w:pPr>
        <w:ind w:right="26"/>
        <w:jc w:val="both"/>
        <w:rPr>
          <w:lang w:val="en-US"/>
        </w:rPr>
      </w:pPr>
    </w:p>
    <w:p w:rsidR="00B55048" w:rsidRDefault="00E92CA3" w:rsidP="00C03113">
      <w:pPr>
        <w:numPr>
          <w:ilvl w:val="0"/>
          <w:numId w:val="43"/>
        </w:numPr>
        <w:ind w:right="26"/>
        <w:jc w:val="both"/>
        <w:rPr>
          <w:lang w:val="en-US"/>
        </w:rPr>
      </w:pPr>
      <w:r>
        <w:rPr>
          <w:lang w:val="en-US"/>
        </w:rPr>
        <w:t xml:space="preserve">In accordance with the provisions of Regulation 1030/2002/EC, as amended by Regulation 380/2008/EC, Greek authorities are obliged to issue residence permits in the format of </w:t>
      </w:r>
      <w:r w:rsidR="00B55048">
        <w:rPr>
          <w:lang w:val="en-US"/>
        </w:rPr>
        <w:t>a</w:t>
      </w:r>
      <w:r>
        <w:rPr>
          <w:lang w:val="en-US"/>
        </w:rPr>
        <w:t xml:space="preserve"> separate document (electronic card).</w:t>
      </w:r>
      <w:r w:rsidR="00B55048">
        <w:rPr>
          <w:lang w:val="en-US"/>
        </w:rPr>
        <w:t xml:space="preserve"> </w:t>
      </w:r>
      <w:r>
        <w:rPr>
          <w:lang w:val="en-US"/>
        </w:rPr>
        <w:t>Following to this and in the framework of the recent comprehensive efforts of the Hellenic government to reform its administrative structure in order to provide best quality services to citizens</w:t>
      </w:r>
      <w:r w:rsidR="00B55048">
        <w:rPr>
          <w:lang w:val="en-US"/>
        </w:rPr>
        <w:t>,</w:t>
      </w:r>
      <w:r>
        <w:rPr>
          <w:lang w:val="en-US"/>
        </w:rPr>
        <w:t xml:space="preserve"> Law 4018/2011 titled “Re- organization of the sy</w:t>
      </w:r>
      <w:r w:rsidR="00B55048">
        <w:rPr>
          <w:lang w:val="en-US"/>
        </w:rPr>
        <w:t xml:space="preserve">stem for the issuance of aliens’ </w:t>
      </w:r>
      <w:r>
        <w:rPr>
          <w:lang w:val="en-US"/>
        </w:rPr>
        <w:t xml:space="preserve">residence permits under increased security and other provisions falling under the competence of Ministry of Interior” has been adopted. The new law includes provisions that simplify, among others, the legal framework </w:t>
      </w:r>
      <w:r w:rsidR="00B55048">
        <w:rPr>
          <w:lang w:val="en-US"/>
        </w:rPr>
        <w:t>for the</w:t>
      </w:r>
      <w:r>
        <w:rPr>
          <w:lang w:val="en-US"/>
        </w:rPr>
        <w:t xml:space="preserve"> entry and residence of third country nationals and accelerate the procedures on the one hand</w:t>
      </w:r>
      <w:r w:rsidR="00B55048">
        <w:rPr>
          <w:lang w:val="en-US"/>
        </w:rPr>
        <w:t>,</w:t>
      </w:r>
      <w:r>
        <w:rPr>
          <w:lang w:val="en-US"/>
        </w:rPr>
        <w:t xml:space="preserve"> and</w:t>
      </w:r>
      <w:r w:rsidR="00B55048">
        <w:rPr>
          <w:lang w:val="en-US"/>
        </w:rPr>
        <w:t>,</w:t>
      </w:r>
      <w:r>
        <w:rPr>
          <w:lang w:val="en-US"/>
        </w:rPr>
        <w:t xml:space="preserve"> on the other hand</w:t>
      </w:r>
      <w:r w:rsidR="00B55048">
        <w:rPr>
          <w:lang w:val="en-US"/>
        </w:rPr>
        <w:t>,</w:t>
      </w:r>
      <w:r>
        <w:rPr>
          <w:lang w:val="en-US"/>
        </w:rPr>
        <w:t xml:space="preserve"> </w:t>
      </w:r>
      <w:r w:rsidR="00B55048">
        <w:rPr>
          <w:lang w:val="en-US"/>
        </w:rPr>
        <w:t>promote</w:t>
      </w:r>
      <w:r>
        <w:rPr>
          <w:lang w:val="en-US"/>
        </w:rPr>
        <w:t xml:space="preserve"> the gradual transformation of the migration authorities to “one stop shops”(this is related to the implementation of the residence permit, as an electronic card) for immigrants in the seat of each decentralized authority (ex-prefecture) of the country providing faster proc</w:t>
      </w:r>
      <w:r w:rsidR="00B55048">
        <w:rPr>
          <w:lang w:val="en-US"/>
        </w:rPr>
        <w:t xml:space="preserve">edures and efficient services. </w:t>
      </w:r>
      <w:r>
        <w:rPr>
          <w:lang w:val="en-US"/>
        </w:rPr>
        <w:t xml:space="preserve">This innovative amendment is expected to reduce, drastically, the period of time required for issuing residence permits. At this stage a number of “one-stop shops” </w:t>
      </w:r>
      <w:r w:rsidR="00B55048">
        <w:rPr>
          <w:lang w:val="en-US"/>
        </w:rPr>
        <w:t>are</w:t>
      </w:r>
      <w:r>
        <w:rPr>
          <w:lang w:val="en-US"/>
        </w:rPr>
        <w:t xml:space="preserve"> in operation.</w:t>
      </w:r>
      <w:r w:rsidR="00B55048">
        <w:rPr>
          <w:lang w:val="en-US"/>
        </w:rPr>
        <w:t xml:space="preserve"> </w:t>
      </w:r>
    </w:p>
    <w:p w:rsidR="00B55048" w:rsidRDefault="00B55048" w:rsidP="00E92CA3">
      <w:pPr>
        <w:ind w:right="26"/>
        <w:jc w:val="both"/>
        <w:rPr>
          <w:lang w:val="en-US"/>
        </w:rPr>
      </w:pPr>
    </w:p>
    <w:p w:rsidR="00B55048" w:rsidRDefault="00E92CA3" w:rsidP="00C03113">
      <w:pPr>
        <w:numPr>
          <w:ilvl w:val="0"/>
          <w:numId w:val="43"/>
        </w:numPr>
        <w:ind w:right="26"/>
        <w:jc w:val="both"/>
        <w:rPr>
          <w:lang w:val="en-US"/>
        </w:rPr>
      </w:pPr>
      <w:r>
        <w:rPr>
          <w:lang w:val="en-US"/>
        </w:rPr>
        <w:t xml:space="preserve">Also, in the framework of the above mentioned Law, the Greek Parliament adopted provisions on the simplification of the procedure for </w:t>
      </w:r>
      <w:r w:rsidR="00B55048">
        <w:rPr>
          <w:lang w:val="en-US"/>
        </w:rPr>
        <w:t xml:space="preserve">the </w:t>
      </w:r>
      <w:r>
        <w:rPr>
          <w:lang w:val="en-US"/>
        </w:rPr>
        <w:t xml:space="preserve">entry and temporary residence of third country nationals, as seasonal workers. </w:t>
      </w:r>
    </w:p>
    <w:p w:rsidR="00B55048" w:rsidRDefault="00B55048">
      <w:pPr>
        <w:ind w:right="26"/>
        <w:jc w:val="both"/>
        <w:rPr>
          <w:lang w:val="en-US"/>
        </w:rPr>
      </w:pPr>
    </w:p>
    <w:p w:rsidR="00822681" w:rsidRDefault="00822681" w:rsidP="00C03113">
      <w:pPr>
        <w:numPr>
          <w:ilvl w:val="0"/>
          <w:numId w:val="43"/>
        </w:numPr>
        <w:ind w:right="26"/>
        <w:jc w:val="both"/>
        <w:rPr>
          <w:lang w:val="en-US"/>
        </w:rPr>
      </w:pPr>
      <w:r>
        <w:rPr>
          <w:lang w:val="en-US"/>
        </w:rPr>
        <w:t xml:space="preserve">Joint Ministerial Decision 15055/546/2011 reduced the minimum necessary number of working days and insurance days for third country nationals, as a requirement for the renewal of the residence permit for work. As a result, third-country nationals can renew their stay permit under more favorable conditions, thus they can be more easily integrated in the labour market of our country and secure their labour and insurance rights. More specifically, the Joint Ministerial Decision </w:t>
      </w:r>
      <w:r>
        <w:rPr>
          <w:lang w:val="en-US"/>
        </w:rPr>
        <w:lastRenderedPageBreak/>
        <w:t xml:space="preserve">reduces the insurance days that are necessary for the renewal of the stay permit from 200 to 120 per year or to 240 per biennium.  </w:t>
      </w:r>
    </w:p>
    <w:p w:rsidR="00822681" w:rsidRDefault="00822681">
      <w:pPr>
        <w:ind w:right="26"/>
        <w:jc w:val="both"/>
        <w:rPr>
          <w:lang w:val="en-GB"/>
        </w:rPr>
      </w:pPr>
    </w:p>
    <w:p w:rsidR="00E92CA3" w:rsidRDefault="00E92CA3" w:rsidP="00C03113">
      <w:pPr>
        <w:numPr>
          <w:ilvl w:val="0"/>
          <w:numId w:val="43"/>
        </w:numPr>
        <w:ind w:right="26"/>
        <w:jc w:val="both"/>
        <w:outlineLvl w:val="0"/>
        <w:rPr>
          <w:lang w:val="en-US"/>
        </w:rPr>
      </w:pPr>
      <w:r w:rsidRPr="009F29A3">
        <w:rPr>
          <w:lang w:val="en-US"/>
        </w:rPr>
        <w:t>In relation to migrant integration, the Greek Government has drafted a National Strategy for the Integration of third country nationals.</w:t>
      </w:r>
      <w:r>
        <w:rPr>
          <w:lang w:val="en-US"/>
        </w:rPr>
        <w:t xml:space="preserve"> The Strategy revolves around the following policy areas: Information Services, Education and Greek Language Courses, Employment and Vocational Training, Health, Housing/ Quality of Life, Civic Participation, Equal Treatment, Intercultural Coexistence, Targeted Social Groups and Planning and Evaluation of Social Integration Programmes.</w:t>
      </w:r>
      <w:r w:rsidR="00B55048">
        <w:rPr>
          <w:lang w:val="en-US"/>
        </w:rPr>
        <w:t xml:space="preserve"> </w:t>
      </w:r>
      <w:r w:rsidRPr="009F29A3">
        <w:rPr>
          <w:lang w:val="en-US"/>
        </w:rPr>
        <w:t xml:space="preserve">The draft aims to bring together and coordinate all agencies that are involved with migrant integration. This draft will form the basis for an extensive process of consultation, which will take place both with governmental and non-governmental agencies. After consultation, the National Strategy will provide the main directions and objectives for the integration of migrants in the country. </w:t>
      </w:r>
    </w:p>
    <w:p w:rsidR="00822681" w:rsidRDefault="00822681">
      <w:pPr>
        <w:ind w:right="26"/>
        <w:jc w:val="both"/>
        <w:outlineLvl w:val="0"/>
        <w:rPr>
          <w:lang w:val="en-US"/>
        </w:rPr>
      </w:pPr>
    </w:p>
    <w:p w:rsidR="00822681" w:rsidRDefault="00B55048" w:rsidP="00C03113">
      <w:pPr>
        <w:numPr>
          <w:ilvl w:val="0"/>
          <w:numId w:val="43"/>
        </w:numPr>
        <w:ind w:right="26"/>
        <w:jc w:val="both"/>
        <w:outlineLvl w:val="0"/>
        <w:rPr>
          <w:lang w:val="en-US"/>
        </w:rPr>
      </w:pPr>
      <w:r>
        <w:rPr>
          <w:lang w:val="en-US"/>
        </w:rPr>
        <w:t>Finally, a number of</w:t>
      </w:r>
      <w:r w:rsidR="00822681">
        <w:rPr>
          <w:lang w:val="en-US"/>
        </w:rPr>
        <w:t xml:space="preserve"> actions have </w:t>
      </w:r>
      <w:r>
        <w:rPr>
          <w:lang w:val="en-US"/>
        </w:rPr>
        <w:t xml:space="preserve">recently </w:t>
      </w:r>
      <w:r w:rsidR="00822681">
        <w:rPr>
          <w:lang w:val="en-US"/>
        </w:rPr>
        <w:t xml:space="preserve">been implemented within the context of the European Integration Fund’s 2009 Annual Programme. </w:t>
      </w:r>
    </w:p>
    <w:p w:rsidR="00822681" w:rsidRDefault="00822681">
      <w:pPr>
        <w:ind w:right="26"/>
        <w:jc w:val="both"/>
        <w:rPr>
          <w:lang w:val="en-US"/>
        </w:rPr>
      </w:pPr>
    </w:p>
    <w:p w:rsidR="00822681" w:rsidRDefault="00822681">
      <w:pPr>
        <w:ind w:right="26"/>
        <w:jc w:val="both"/>
        <w:rPr>
          <w:b/>
          <w:lang w:val="en-US"/>
        </w:rPr>
      </w:pPr>
      <w:r>
        <w:rPr>
          <w:b/>
          <w:lang w:val="en-US"/>
        </w:rPr>
        <w:t>Rights of persons belonging to minorities (paras. 10, 29, 31, 51 of the Committee’s Concluding Observations)</w:t>
      </w:r>
    </w:p>
    <w:p w:rsidR="00822681" w:rsidRDefault="00822681">
      <w:pPr>
        <w:ind w:right="26"/>
        <w:jc w:val="both"/>
        <w:rPr>
          <w:lang w:val="en-US"/>
        </w:rPr>
      </w:pPr>
    </w:p>
    <w:p w:rsidR="00822681" w:rsidRDefault="00822681" w:rsidP="00C03113">
      <w:pPr>
        <w:numPr>
          <w:ilvl w:val="0"/>
          <w:numId w:val="43"/>
        </w:numPr>
        <w:ind w:right="26"/>
        <w:jc w:val="both"/>
        <w:rPr>
          <w:lang w:val="en-US"/>
        </w:rPr>
      </w:pPr>
      <w:r>
        <w:rPr>
          <w:lang w:val="en-US"/>
        </w:rPr>
        <w:t xml:space="preserve">The protection of the rights of persons belonging to minorities forms an integral part of the international protection of human rights. For this reason, Greek legislation, policy and practice on minority issues are oriented towards the strict implementation of modern human rights standards to the benefit of members of such groups. </w:t>
      </w:r>
    </w:p>
    <w:p w:rsidR="00822681" w:rsidRDefault="00822681">
      <w:pPr>
        <w:ind w:right="26"/>
        <w:jc w:val="both"/>
        <w:rPr>
          <w:lang w:val="en-US"/>
        </w:rPr>
      </w:pPr>
    </w:p>
    <w:p w:rsidR="00822681" w:rsidRDefault="00822681" w:rsidP="00C03113">
      <w:pPr>
        <w:numPr>
          <w:ilvl w:val="0"/>
          <w:numId w:val="43"/>
        </w:numPr>
        <w:ind w:right="26"/>
        <w:jc w:val="both"/>
        <w:rPr>
          <w:lang w:val="en-US"/>
        </w:rPr>
      </w:pPr>
      <w:r>
        <w:rPr>
          <w:lang w:val="en-US"/>
        </w:rPr>
        <w:t>Within this framework, any person who claims to belong to a distinct ethnic or cultural group is free to do so, with no negative consequences deriving from such a choice. However, such subjective claims or perceptions of a small number of persons, which are not based on objective facts and criteria, are not sufficient by themselves to impose</w:t>
      </w:r>
      <w:r w:rsidR="00081BCB">
        <w:rPr>
          <w:lang w:val="en-US"/>
        </w:rPr>
        <w:t xml:space="preserve"> to</w:t>
      </w:r>
      <w:r>
        <w:rPr>
          <w:lang w:val="en-US"/>
        </w:rPr>
        <w:t xml:space="preserve"> a State an obligation to officially recognize a group as a minority and to provide to its members specific minority rights, additional to those guaranteed by human rights treaties. This view is fully in line with the approach adopted in the context of modern human rights treaties in the field of minority protection, according to which the individual’s subjective choice is inseparably linked to objective criteria relevant to that person’s identity. Furthermore, according to the same standards, all ethnic, cultural, linguistic or religious differences do not necessarily lead to the creation of national, or, for that matter, ethnic minorities (these principles are well reflected in the Framework Convention on the protection of National Minorities of the Council of Europe).</w:t>
      </w:r>
    </w:p>
    <w:p w:rsidR="00822681" w:rsidRDefault="00822681">
      <w:pPr>
        <w:ind w:right="26"/>
        <w:jc w:val="both"/>
        <w:rPr>
          <w:lang w:val="en-US"/>
        </w:rPr>
      </w:pPr>
    </w:p>
    <w:p w:rsidR="00822681" w:rsidRDefault="00822681" w:rsidP="00C03113">
      <w:pPr>
        <w:numPr>
          <w:ilvl w:val="0"/>
          <w:numId w:val="43"/>
        </w:numPr>
        <w:ind w:right="26"/>
        <w:jc w:val="both"/>
        <w:rPr>
          <w:lang w:val="en-US"/>
        </w:rPr>
      </w:pPr>
      <w:r>
        <w:rPr>
          <w:lang w:val="en-US"/>
        </w:rPr>
        <w:t xml:space="preserve">Greece has repeatedly stated that </w:t>
      </w:r>
      <w:r w:rsidR="00081BCB">
        <w:rPr>
          <w:lang w:val="en-US"/>
        </w:rPr>
        <w:t>it</w:t>
      </w:r>
      <w:r>
        <w:rPr>
          <w:lang w:val="en-US"/>
        </w:rPr>
        <w:t xml:space="preserve"> officially recognizes the existence of only one minority in Greece, namely the Muslim minority in Thrace. Further to fully complying with the relevant provisions of the 1923 Lausanne Treaty, Greek policy and legislation reflect and implement contemporary human rights norms and standards, as well as the European Union </w:t>
      </w:r>
      <w:r>
        <w:rPr>
          <w:i/>
          <w:lang w:val="en-US"/>
        </w:rPr>
        <w:t>acquis</w:t>
      </w:r>
      <w:r>
        <w:rPr>
          <w:lang w:val="en-US"/>
        </w:rPr>
        <w:t xml:space="preserve">, aimed at improving the living conditions of the members of this minority and their smooth integration into all aspects of both local and national society. Other groups living on the Greek territory have not been identified as “minorities’’, since they do not meet the objective criteria </w:t>
      </w:r>
      <w:r>
        <w:rPr>
          <w:lang w:val="en-US"/>
        </w:rPr>
        <w:lastRenderedPageBreak/>
        <w:t xml:space="preserve">which are well defined in international law for their identification as minority groups. However, persons belonging to such groups are fully entitled to enjoy economic, social and cultural rights as any other person living in the country, regardless of whether they have been granted the status of “minorities’’. </w:t>
      </w:r>
    </w:p>
    <w:p w:rsidR="00822681" w:rsidRDefault="00822681">
      <w:pPr>
        <w:ind w:right="26"/>
        <w:jc w:val="both"/>
        <w:rPr>
          <w:lang w:val="en-US"/>
        </w:rPr>
      </w:pPr>
    </w:p>
    <w:p w:rsidR="00822681" w:rsidRDefault="00822681" w:rsidP="00C03113">
      <w:pPr>
        <w:numPr>
          <w:ilvl w:val="0"/>
          <w:numId w:val="43"/>
        </w:numPr>
        <w:ind w:right="26"/>
        <w:jc w:val="both"/>
        <w:rPr>
          <w:lang w:val="en-US"/>
        </w:rPr>
      </w:pPr>
      <w:r>
        <w:rPr>
          <w:lang w:val="en-US"/>
        </w:rPr>
        <w:t xml:space="preserve">Greece recognizes that the Council of Europe Framework Convention for the Protection of National Minorities has proved to be an extremely useful tool in the effort of Council of Europe Member States to ensure the protection and promotion of the rights of persons belonging to minorities. It has been ratified by the vast majority of Council of Europe Member States (39 out of 47 Member States). It is, however, to be noted that States have at their disposal a variety of ways and means to ensure protection of the rights of persons belonging to minority groups. The implementation of minority rights instruments requires legal and political assessments and choices as to what forms and modalities such implementation should take, depending on particular national circumstances. In our view, the non-ratification of the Framework Convention has not lead to the emergence of a “protection gap” in the field of application of the ICESCR, nor has impeded the full enjoyment by Greek citizens of all rights enshrined in the Covenant.  </w:t>
      </w:r>
    </w:p>
    <w:p w:rsidR="00822681" w:rsidRDefault="00822681">
      <w:pPr>
        <w:ind w:right="26"/>
        <w:jc w:val="both"/>
        <w:rPr>
          <w:sz w:val="22"/>
          <w:szCs w:val="22"/>
          <w:lang w:val="en-US"/>
        </w:rPr>
      </w:pPr>
    </w:p>
    <w:p w:rsidR="00822681" w:rsidRDefault="00822681">
      <w:pPr>
        <w:ind w:right="26"/>
        <w:jc w:val="both"/>
        <w:rPr>
          <w:b/>
          <w:lang w:val="en-US"/>
        </w:rPr>
      </w:pPr>
      <w:r>
        <w:rPr>
          <w:b/>
          <w:lang w:val="en-US"/>
        </w:rPr>
        <w:t>Development Cooperation</w:t>
      </w:r>
    </w:p>
    <w:p w:rsidR="00822681" w:rsidRDefault="00822681" w:rsidP="00C03113">
      <w:pPr>
        <w:numPr>
          <w:ilvl w:val="0"/>
          <w:numId w:val="43"/>
        </w:numPr>
        <w:ind w:right="-154"/>
        <w:jc w:val="both"/>
        <w:rPr>
          <w:lang w:val="en-US"/>
        </w:rPr>
      </w:pPr>
      <w:r>
        <w:rPr>
          <w:lang w:val="en-US"/>
        </w:rPr>
        <w:t xml:space="preserve">In 2009, Greece allocated 0,19% of its Gross National Income to Official Development Assistance (ODA) to developing countries. The amount of development assistance is allocated to bilateral development assistance activities, multilateral development assistance and development programmes undertaken and implemented by Greek NGOs in developing countries. Greece has intervened in many cases of natural or man-made disasters, so as not only to provide emergency relief, but also to contribute in guaranteeing the rights of the affected persons to life, adequate food, housing, water and health. In particular, Greece is strongly engaged in combating climate change effects, through, </w:t>
      </w:r>
      <w:r>
        <w:rPr>
          <w:i/>
          <w:lang w:val="en-US"/>
        </w:rPr>
        <w:t>inter alia</w:t>
      </w:r>
      <w:r>
        <w:rPr>
          <w:lang w:val="en-US"/>
        </w:rPr>
        <w:t xml:space="preserve">, a human rights perspective. During the Greek Chairmanship of the Human Security Network (May 2007-May 2008), Greece undertook a number of initiatives to highlight the impact of climate change on the enjoyment of the rights of vulnerable population groups. </w:t>
      </w:r>
    </w:p>
    <w:p w:rsidR="00822681" w:rsidRDefault="00822681">
      <w:pPr>
        <w:spacing w:line="360" w:lineRule="auto"/>
        <w:ind w:right="26"/>
        <w:jc w:val="both"/>
        <w:rPr>
          <w:sz w:val="22"/>
          <w:szCs w:val="22"/>
          <w:lang w:val="en-US"/>
        </w:rPr>
      </w:pPr>
    </w:p>
    <w:p w:rsidR="00822681" w:rsidRDefault="00822681">
      <w:pPr>
        <w:spacing w:line="360" w:lineRule="auto"/>
        <w:ind w:right="26"/>
        <w:jc w:val="center"/>
        <w:rPr>
          <w:b/>
          <w:lang w:val="en-US" w:eastAsia="en-US"/>
        </w:rPr>
      </w:pPr>
      <w:r>
        <w:rPr>
          <w:b/>
          <w:lang w:val="en-US" w:eastAsia="en-US"/>
        </w:rPr>
        <w:t>ARTICLE 3</w:t>
      </w:r>
    </w:p>
    <w:p w:rsidR="00822681" w:rsidRDefault="00822681">
      <w:pPr>
        <w:ind w:right="26"/>
        <w:jc w:val="both"/>
        <w:rPr>
          <w:b/>
          <w:lang w:val="en-US"/>
        </w:rPr>
      </w:pPr>
      <w:r>
        <w:rPr>
          <w:b/>
          <w:lang w:val="en-US"/>
        </w:rPr>
        <w:t>Representation of women at decision-making levels (paras. 13 and 34 of the Committee’s Concluding Observations)</w:t>
      </w:r>
    </w:p>
    <w:p w:rsidR="00C03113" w:rsidRDefault="00C03113" w:rsidP="00E92CA3">
      <w:pPr>
        <w:tabs>
          <w:tab w:val="left" w:pos="1677"/>
        </w:tabs>
        <w:spacing w:line="360" w:lineRule="auto"/>
        <w:ind w:left="720" w:right="26"/>
        <w:jc w:val="both"/>
        <w:rPr>
          <w:u w:val="single"/>
          <w:lang w:val="en-US"/>
        </w:rPr>
      </w:pPr>
    </w:p>
    <w:p w:rsidR="00C03113" w:rsidRDefault="00C03113" w:rsidP="00C03113">
      <w:pPr>
        <w:numPr>
          <w:ilvl w:val="0"/>
          <w:numId w:val="43"/>
        </w:numPr>
        <w:tabs>
          <w:tab w:val="left" w:pos="1677"/>
        </w:tabs>
        <w:ind w:right="26"/>
        <w:jc w:val="both"/>
        <w:rPr>
          <w:lang w:val="en-US"/>
        </w:rPr>
      </w:pPr>
      <w:r w:rsidRPr="00C03113">
        <w:rPr>
          <w:lang w:val="en-US"/>
        </w:rPr>
        <w:t>The relevant data are as follows:</w:t>
      </w:r>
    </w:p>
    <w:p w:rsidR="00C03113" w:rsidRPr="00C03113" w:rsidRDefault="00C03113" w:rsidP="00C03113">
      <w:pPr>
        <w:tabs>
          <w:tab w:val="left" w:pos="1677"/>
        </w:tabs>
        <w:ind w:right="26"/>
        <w:jc w:val="both"/>
        <w:rPr>
          <w:lang w:val="en-US"/>
        </w:rPr>
      </w:pPr>
    </w:p>
    <w:p w:rsidR="00E92CA3" w:rsidRPr="00E92CA3" w:rsidRDefault="00E92CA3" w:rsidP="00C03113">
      <w:pPr>
        <w:tabs>
          <w:tab w:val="left" w:pos="1677"/>
        </w:tabs>
        <w:ind w:left="720" w:right="26"/>
        <w:jc w:val="both"/>
        <w:rPr>
          <w:lang w:val="en-US"/>
        </w:rPr>
      </w:pPr>
      <w:r w:rsidRPr="00E92CA3">
        <w:rPr>
          <w:lang w:val="en-US"/>
        </w:rPr>
        <w:t xml:space="preserve">Hellenic Parliament (data 2012) </w:t>
      </w:r>
    </w:p>
    <w:p w:rsidR="00E92CA3" w:rsidRDefault="00E92CA3" w:rsidP="00C03113">
      <w:pPr>
        <w:tabs>
          <w:tab w:val="left" w:pos="1677"/>
        </w:tabs>
        <w:ind w:left="720" w:right="26"/>
        <w:jc w:val="both"/>
        <w:rPr>
          <w:lang w:val="en-US"/>
        </w:rPr>
      </w:pPr>
      <w:r w:rsidRPr="00E92CA3">
        <w:rPr>
          <w:lang w:val="en-US"/>
        </w:rPr>
        <w:t>58 Women MPs out of 300 seats in total (percentage 19.3%)</w:t>
      </w:r>
    </w:p>
    <w:p w:rsidR="00C03113" w:rsidRPr="00E92CA3" w:rsidRDefault="00C03113" w:rsidP="00C03113">
      <w:pPr>
        <w:tabs>
          <w:tab w:val="left" w:pos="1677"/>
        </w:tabs>
        <w:ind w:left="720" w:right="26"/>
        <w:jc w:val="both"/>
        <w:rPr>
          <w:lang w:val="en-US"/>
        </w:rPr>
      </w:pPr>
    </w:p>
    <w:p w:rsidR="00E92CA3" w:rsidRPr="00E92CA3" w:rsidRDefault="00E92CA3" w:rsidP="00C03113">
      <w:pPr>
        <w:tabs>
          <w:tab w:val="left" w:pos="1677"/>
        </w:tabs>
        <w:ind w:left="720" w:right="26"/>
        <w:jc w:val="both"/>
        <w:rPr>
          <w:lang w:val="en-US"/>
        </w:rPr>
      </w:pPr>
      <w:r w:rsidRPr="00E92CA3">
        <w:rPr>
          <w:lang w:val="en-US"/>
        </w:rPr>
        <w:t>Government (data 2010)</w:t>
      </w:r>
    </w:p>
    <w:p w:rsidR="00E92CA3" w:rsidRDefault="00E92CA3" w:rsidP="00C03113">
      <w:pPr>
        <w:tabs>
          <w:tab w:val="left" w:pos="1677"/>
        </w:tabs>
        <w:ind w:left="720" w:right="26"/>
        <w:jc w:val="both"/>
        <w:rPr>
          <w:lang w:val="en-US"/>
        </w:rPr>
      </w:pPr>
      <w:r w:rsidRPr="00E92CA3">
        <w:rPr>
          <w:lang w:val="en-US"/>
        </w:rPr>
        <w:t>Out of the 49 Members of the Cabinet (includ</w:t>
      </w:r>
      <w:r w:rsidR="00081BCB">
        <w:rPr>
          <w:lang w:val="en-US"/>
        </w:rPr>
        <w:t>ing the Prime Minister), there we</w:t>
      </w:r>
      <w:r w:rsidRPr="00E92CA3">
        <w:rPr>
          <w:lang w:val="en-US"/>
        </w:rPr>
        <w:t>re 3 women Ministers, and 7 women Deputy Ministers.</w:t>
      </w:r>
    </w:p>
    <w:p w:rsidR="00C03113" w:rsidRPr="00E92CA3" w:rsidRDefault="00C03113" w:rsidP="00C03113">
      <w:pPr>
        <w:tabs>
          <w:tab w:val="left" w:pos="1677"/>
        </w:tabs>
        <w:ind w:left="720" w:right="26"/>
        <w:jc w:val="both"/>
        <w:rPr>
          <w:lang w:val="en-US"/>
        </w:rPr>
      </w:pPr>
    </w:p>
    <w:p w:rsidR="00E92CA3" w:rsidRPr="00E92CA3" w:rsidRDefault="00E92CA3" w:rsidP="00C03113">
      <w:pPr>
        <w:tabs>
          <w:tab w:val="left" w:pos="1677"/>
        </w:tabs>
        <w:ind w:left="720" w:right="26"/>
        <w:jc w:val="both"/>
        <w:rPr>
          <w:lang w:val="en-US"/>
        </w:rPr>
      </w:pPr>
      <w:r w:rsidRPr="00E92CA3">
        <w:rPr>
          <w:lang w:val="en-US"/>
        </w:rPr>
        <w:t>Local Government (data 2011)</w:t>
      </w:r>
    </w:p>
    <w:p w:rsidR="00E92CA3" w:rsidRPr="00E92CA3" w:rsidRDefault="00E92CA3" w:rsidP="00C03113">
      <w:pPr>
        <w:tabs>
          <w:tab w:val="left" w:pos="1677"/>
        </w:tabs>
        <w:ind w:left="720" w:right="26"/>
        <w:jc w:val="both"/>
        <w:rPr>
          <w:lang w:val="en-US"/>
        </w:rPr>
      </w:pPr>
      <w:r w:rsidRPr="00E92CA3">
        <w:rPr>
          <w:lang w:val="en-US"/>
        </w:rPr>
        <w:t xml:space="preserve">In the Regional Councils 115 women were elected out of 713 seats in total (percentage 16.13%), while 11 </w:t>
      </w:r>
      <w:r w:rsidR="00081BCB">
        <w:rPr>
          <w:lang w:val="en-US"/>
        </w:rPr>
        <w:t>Deputy</w:t>
      </w:r>
      <w:r w:rsidRPr="00E92CA3">
        <w:rPr>
          <w:lang w:val="en-US"/>
        </w:rPr>
        <w:t xml:space="preserve"> Heads of Regions are women.</w:t>
      </w:r>
    </w:p>
    <w:p w:rsidR="00E92CA3" w:rsidRPr="00E92CA3" w:rsidRDefault="00E92CA3" w:rsidP="00C03113">
      <w:pPr>
        <w:tabs>
          <w:tab w:val="left" w:pos="1677"/>
        </w:tabs>
        <w:ind w:left="720" w:right="26"/>
        <w:jc w:val="both"/>
        <w:rPr>
          <w:lang w:val="en-US"/>
        </w:rPr>
      </w:pPr>
      <w:r w:rsidRPr="00E92CA3">
        <w:rPr>
          <w:lang w:val="en-US"/>
        </w:rPr>
        <w:lastRenderedPageBreak/>
        <w:t>There are 8 women Mayors in a total of 325 Mayors</w:t>
      </w:r>
    </w:p>
    <w:p w:rsidR="00E92CA3" w:rsidRDefault="00E92CA3" w:rsidP="00C03113">
      <w:pPr>
        <w:tabs>
          <w:tab w:val="left" w:pos="1677"/>
        </w:tabs>
        <w:ind w:left="720" w:right="26"/>
        <w:jc w:val="both"/>
        <w:rPr>
          <w:lang w:val="en-US"/>
        </w:rPr>
      </w:pPr>
      <w:r w:rsidRPr="00E92CA3">
        <w:rPr>
          <w:lang w:val="en-US"/>
        </w:rPr>
        <w:t>Municipal Councils</w:t>
      </w:r>
      <w:r w:rsidR="00081BCB">
        <w:rPr>
          <w:lang w:val="en-US"/>
        </w:rPr>
        <w:t>:</w:t>
      </w:r>
      <w:r w:rsidRPr="00E92CA3">
        <w:rPr>
          <w:lang w:val="en-US"/>
        </w:rPr>
        <w:t xml:space="preserve"> 1558 women were elected out of 9694 seats in total (percentage 16.07%).</w:t>
      </w:r>
    </w:p>
    <w:p w:rsidR="00C03113" w:rsidRPr="00E92CA3" w:rsidRDefault="00C03113" w:rsidP="00C03113">
      <w:pPr>
        <w:tabs>
          <w:tab w:val="left" w:pos="1677"/>
        </w:tabs>
        <w:ind w:left="720" w:right="26"/>
        <w:jc w:val="both"/>
        <w:rPr>
          <w:lang w:val="en-US"/>
        </w:rPr>
      </w:pPr>
    </w:p>
    <w:p w:rsidR="00E92CA3" w:rsidRPr="00E92CA3" w:rsidRDefault="00E92CA3" w:rsidP="00C03113">
      <w:pPr>
        <w:tabs>
          <w:tab w:val="left" w:pos="1677"/>
        </w:tabs>
        <w:ind w:left="720" w:right="26"/>
        <w:jc w:val="both"/>
        <w:rPr>
          <w:lang w:val="en-US"/>
        </w:rPr>
      </w:pPr>
      <w:r w:rsidRPr="00E92CA3">
        <w:rPr>
          <w:lang w:val="en-US"/>
        </w:rPr>
        <w:t>Judiciary (data 2010)</w:t>
      </w:r>
    </w:p>
    <w:p w:rsidR="00E92CA3" w:rsidRPr="00E92CA3" w:rsidRDefault="00E92CA3" w:rsidP="00C03113">
      <w:pPr>
        <w:tabs>
          <w:tab w:val="left" w:pos="1677"/>
        </w:tabs>
        <w:ind w:left="720" w:right="26"/>
        <w:jc w:val="both"/>
        <w:rPr>
          <w:lang w:val="en-US"/>
        </w:rPr>
      </w:pPr>
      <w:r w:rsidRPr="00E92CA3">
        <w:rPr>
          <w:lang w:val="en-US"/>
        </w:rPr>
        <w:t>Total number of Judges of all levels by gender: 2.428 Women, 1.245 Men</w:t>
      </w:r>
    </w:p>
    <w:p w:rsidR="00E92CA3" w:rsidRDefault="00081BCB" w:rsidP="00C03113">
      <w:pPr>
        <w:tabs>
          <w:tab w:val="left" w:pos="1677"/>
        </w:tabs>
        <w:ind w:left="720" w:right="26"/>
        <w:jc w:val="both"/>
        <w:rPr>
          <w:lang w:val="en-US"/>
        </w:rPr>
      </w:pPr>
      <w:r>
        <w:rPr>
          <w:lang w:val="en-US"/>
        </w:rPr>
        <w:t>In addition, 3 Vice-</w:t>
      </w:r>
      <w:r w:rsidR="00E92CA3" w:rsidRPr="00E92CA3">
        <w:rPr>
          <w:lang w:val="en-US"/>
        </w:rPr>
        <w:t xml:space="preserve">Presidents at the Council </w:t>
      </w:r>
      <w:r>
        <w:rPr>
          <w:lang w:val="en-US"/>
        </w:rPr>
        <w:t>of State (</w:t>
      </w:r>
      <w:smartTag w:uri="urn:schemas-microsoft-com:office:smarttags" w:element="Street">
        <w:smartTag w:uri="urn:schemas-microsoft-com:office:smarttags" w:element="address">
          <w:r>
            <w:rPr>
              <w:lang w:val="en-US"/>
            </w:rPr>
            <w:t>Supreme Administrative Court</w:t>
          </w:r>
        </w:smartTag>
      </w:smartTag>
      <w:r>
        <w:rPr>
          <w:lang w:val="en-US"/>
        </w:rPr>
        <w:t xml:space="preserve">) </w:t>
      </w:r>
      <w:r w:rsidR="00E92CA3" w:rsidRPr="00E92CA3">
        <w:rPr>
          <w:lang w:val="en-US"/>
        </w:rPr>
        <w:t>are women</w:t>
      </w:r>
      <w:r>
        <w:rPr>
          <w:lang w:val="en-US"/>
        </w:rPr>
        <w:t xml:space="preserve">. </w:t>
      </w:r>
      <w:r w:rsidR="00E92CA3" w:rsidRPr="00E92CA3">
        <w:rPr>
          <w:lang w:val="en-US"/>
        </w:rPr>
        <w:t xml:space="preserve"> </w:t>
      </w:r>
      <w:r>
        <w:rPr>
          <w:lang w:val="en-US"/>
        </w:rPr>
        <w:t>S</w:t>
      </w:r>
      <w:r w:rsidRPr="00E92CA3">
        <w:rPr>
          <w:lang w:val="en-US"/>
        </w:rPr>
        <w:t>ince July 2011</w:t>
      </w:r>
      <w:r>
        <w:rPr>
          <w:lang w:val="en-US"/>
        </w:rPr>
        <w:t xml:space="preserve">, </w:t>
      </w:r>
      <w:r w:rsidR="00E92CA3" w:rsidRPr="00E92CA3">
        <w:rPr>
          <w:lang w:val="en-US"/>
        </w:rPr>
        <w:t xml:space="preserve">the Supreme Court has been </w:t>
      </w:r>
      <w:r>
        <w:rPr>
          <w:lang w:val="en-US"/>
        </w:rPr>
        <w:t xml:space="preserve">presided by </w:t>
      </w:r>
      <w:r w:rsidR="00E92CA3" w:rsidRPr="00E92CA3">
        <w:rPr>
          <w:lang w:val="en-US"/>
        </w:rPr>
        <w:t>a woman.</w:t>
      </w:r>
    </w:p>
    <w:p w:rsidR="00C03113" w:rsidRPr="00E92CA3" w:rsidRDefault="00C03113" w:rsidP="00C03113">
      <w:pPr>
        <w:tabs>
          <w:tab w:val="left" w:pos="1677"/>
        </w:tabs>
        <w:ind w:left="720" w:right="26"/>
        <w:jc w:val="both"/>
        <w:rPr>
          <w:lang w:val="en-US"/>
        </w:rPr>
      </w:pPr>
    </w:p>
    <w:p w:rsidR="00E92CA3" w:rsidRPr="00E92CA3" w:rsidRDefault="00E92CA3" w:rsidP="00C03113">
      <w:pPr>
        <w:tabs>
          <w:tab w:val="left" w:pos="1677"/>
        </w:tabs>
        <w:ind w:left="720" w:right="26"/>
        <w:jc w:val="both"/>
        <w:rPr>
          <w:lang w:val="en-US"/>
        </w:rPr>
      </w:pPr>
      <w:r w:rsidRPr="00E92CA3">
        <w:rPr>
          <w:lang w:val="en-US"/>
        </w:rPr>
        <w:t>Academic Community (Staff) – Data 2008-9</w:t>
      </w:r>
    </w:p>
    <w:p w:rsidR="00E92CA3" w:rsidRPr="00E92CA3" w:rsidRDefault="00C03113" w:rsidP="00C03113">
      <w:pPr>
        <w:tabs>
          <w:tab w:val="left" w:pos="1677"/>
        </w:tabs>
        <w:ind w:left="720" w:right="26"/>
        <w:jc w:val="both"/>
        <w:rPr>
          <w:lang w:val="en-US"/>
        </w:rPr>
      </w:pPr>
      <w:r>
        <w:rPr>
          <w:lang w:val="en-US"/>
        </w:rPr>
        <w:t xml:space="preserve"> </w:t>
      </w:r>
      <w:r w:rsidR="00E92CA3" w:rsidRPr="00E92CA3">
        <w:rPr>
          <w:lang w:val="en-US"/>
        </w:rPr>
        <w:t>Tertiary Education Institutions: 4.232 Women, 8.826 Men</w:t>
      </w:r>
    </w:p>
    <w:p w:rsidR="00822681" w:rsidRDefault="00E92CA3" w:rsidP="00C03113">
      <w:pPr>
        <w:tabs>
          <w:tab w:val="left" w:pos="1677"/>
        </w:tabs>
        <w:ind w:left="720" w:right="26"/>
        <w:jc w:val="both"/>
        <w:rPr>
          <w:lang w:val="en-US"/>
        </w:rPr>
      </w:pPr>
      <w:r w:rsidRPr="00E92CA3">
        <w:rPr>
          <w:lang w:val="en-US"/>
        </w:rPr>
        <w:t xml:space="preserve"> Tertiary Technological Education Institutions: 4.143 Women, 6.739 Men</w:t>
      </w:r>
    </w:p>
    <w:p w:rsidR="00E92CA3" w:rsidRPr="00E92CA3" w:rsidRDefault="00E92CA3" w:rsidP="00E92CA3">
      <w:pPr>
        <w:tabs>
          <w:tab w:val="left" w:pos="1677"/>
        </w:tabs>
        <w:spacing w:line="360" w:lineRule="auto"/>
        <w:ind w:left="720" w:right="26"/>
        <w:jc w:val="both"/>
        <w:rPr>
          <w:sz w:val="22"/>
          <w:szCs w:val="22"/>
          <w:lang w:val="en-US"/>
        </w:rPr>
      </w:pPr>
    </w:p>
    <w:p w:rsidR="00822681" w:rsidRDefault="00822681">
      <w:pPr>
        <w:ind w:right="26"/>
        <w:jc w:val="both"/>
        <w:rPr>
          <w:b/>
          <w:lang w:val="en-US"/>
        </w:rPr>
      </w:pPr>
      <w:r>
        <w:rPr>
          <w:b/>
          <w:lang w:val="en-US"/>
        </w:rPr>
        <w:t>Measures to increase the level of representation of women at all decision-making levels (para. 34 of the Committee’s Concluding Observations)</w:t>
      </w:r>
    </w:p>
    <w:p w:rsidR="00822681" w:rsidRDefault="00822681">
      <w:pPr>
        <w:ind w:right="26"/>
        <w:jc w:val="both"/>
        <w:rPr>
          <w:lang w:val="en-US"/>
        </w:rPr>
      </w:pPr>
    </w:p>
    <w:p w:rsidR="00822681" w:rsidRDefault="00822681" w:rsidP="00C03113">
      <w:pPr>
        <w:numPr>
          <w:ilvl w:val="0"/>
          <w:numId w:val="43"/>
        </w:numPr>
        <w:ind w:right="26"/>
        <w:jc w:val="both"/>
        <w:rPr>
          <w:szCs w:val="22"/>
          <w:lang w:val="en-US"/>
        </w:rPr>
      </w:pPr>
      <w:r>
        <w:rPr>
          <w:szCs w:val="22"/>
          <w:lang w:val="en-US"/>
        </w:rPr>
        <w:t xml:space="preserve">Legislative provisions have been enacted to increase the level of representation of women at all decision-making levels, such as the establishment of a 1/3 minimum quota for either gender on the electoral lists for local and parliamentary elections, in collective bodies and service councils of the public administration, public legal entities and local authorities, as well as in the composition of national organs and committees of research and technology. At the same time, quotas unfavorable to women regarding their admission in the Police and Fire Brigades Academies have been abolished. </w:t>
      </w:r>
    </w:p>
    <w:p w:rsidR="00822681" w:rsidRDefault="00822681">
      <w:pPr>
        <w:ind w:right="26"/>
        <w:jc w:val="both"/>
        <w:rPr>
          <w:szCs w:val="22"/>
          <w:lang w:val="en-US"/>
        </w:rPr>
      </w:pPr>
    </w:p>
    <w:p w:rsidR="00822681" w:rsidRPr="00E92CA3" w:rsidRDefault="00822681" w:rsidP="00C03113">
      <w:pPr>
        <w:numPr>
          <w:ilvl w:val="0"/>
          <w:numId w:val="43"/>
        </w:numPr>
        <w:ind w:right="26"/>
        <w:jc w:val="both"/>
        <w:rPr>
          <w:bCs/>
          <w:szCs w:val="22"/>
          <w:lang w:val="en-GB"/>
        </w:rPr>
      </w:pPr>
      <w:r>
        <w:rPr>
          <w:bCs/>
          <w:szCs w:val="22"/>
          <w:lang w:val="en-US"/>
        </w:rPr>
        <w:t>S</w:t>
      </w:r>
      <w:r>
        <w:rPr>
          <w:bCs/>
          <w:szCs w:val="22"/>
          <w:lang w:val="en-GB"/>
        </w:rPr>
        <w:t xml:space="preserve">everal actions have been implemented or are envisaged in the </w:t>
      </w:r>
      <w:r>
        <w:rPr>
          <w:szCs w:val="22"/>
          <w:lang w:val="en-US"/>
        </w:rPr>
        <w:t xml:space="preserve">National Action Plan for Substantive Gender Equality 2010-2013, with a view to strengthening </w:t>
      </w:r>
      <w:r>
        <w:rPr>
          <w:bCs/>
          <w:szCs w:val="22"/>
          <w:lang w:val="en-GB"/>
        </w:rPr>
        <w:t xml:space="preserve">women’s participation in decision-making. More specifically, since 2005, a number of information and awareness-raising campaigns have been organized. In 2010, a special emphasis was placed on the promotion of women in regional and municipal elections and the integration of gender in the policies of local government in the context of the "Kallikratis” Programme.  The promotion of women in decision-making and civil society is one of the thematic fields of public policy incorporated in the </w:t>
      </w:r>
      <w:r>
        <w:rPr>
          <w:szCs w:val="22"/>
          <w:lang w:val="en-GB"/>
        </w:rPr>
        <w:t xml:space="preserve">National Action Plan </w:t>
      </w:r>
      <w:r w:rsidR="00081BCB">
        <w:rPr>
          <w:szCs w:val="22"/>
          <w:lang w:val="en-GB"/>
        </w:rPr>
        <w:t>for</w:t>
      </w:r>
      <w:r>
        <w:rPr>
          <w:szCs w:val="22"/>
          <w:lang w:val="en-GB"/>
        </w:rPr>
        <w:t xml:space="preserve"> Substantive Gender Equality for the period 2010-2013. The relevant actions </w:t>
      </w:r>
      <w:r>
        <w:rPr>
          <w:bCs/>
          <w:szCs w:val="22"/>
          <w:lang w:val="en-GB"/>
        </w:rPr>
        <w:t>include support of women, both candidate and elected to public office, support of women in election campaigns, creation of offices or committees for women or gender equality, strengthening of the networking of women in secondary and higher education organizations as well as organizations of social partners, close co</w:t>
      </w:r>
      <w:r w:rsidR="00E92CA3">
        <w:rPr>
          <w:bCs/>
          <w:szCs w:val="22"/>
          <w:lang w:val="en-GB"/>
        </w:rPr>
        <w:t>operation with women NGOs, etc.</w:t>
      </w:r>
      <w:r w:rsidR="00E92CA3" w:rsidRPr="00E92CA3">
        <w:rPr>
          <w:bCs/>
          <w:szCs w:val="22"/>
          <w:lang w:val="en-GB"/>
        </w:rPr>
        <w:t xml:space="preserve"> In addition, in each of the 13 Regions of Greece a Regional Equality Committee with a consultative status has been established within the context of the new architectural structure of decentralized administration and local government.</w:t>
      </w:r>
    </w:p>
    <w:p w:rsidR="00822681" w:rsidRDefault="00822681">
      <w:pPr>
        <w:ind w:right="26"/>
        <w:jc w:val="both"/>
        <w:rPr>
          <w:szCs w:val="22"/>
          <w:lang w:val="en-GB"/>
        </w:rPr>
      </w:pPr>
    </w:p>
    <w:p w:rsidR="00822681" w:rsidRDefault="00822681">
      <w:pPr>
        <w:ind w:right="26"/>
        <w:jc w:val="both"/>
        <w:rPr>
          <w:b/>
          <w:szCs w:val="22"/>
          <w:lang w:val="en-GB"/>
        </w:rPr>
      </w:pPr>
      <w:r>
        <w:rPr>
          <w:b/>
          <w:szCs w:val="22"/>
          <w:lang w:val="en-GB"/>
        </w:rPr>
        <w:t>Gender equality in general</w:t>
      </w:r>
    </w:p>
    <w:p w:rsidR="00822681" w:rsidRDefault="00822681">
      <w:pPr>
        <w:ind w:right="26"/>
        <w:jc w:val="both"/>
        <w:rPr>
          <w:szCs w:val="22"/>
          <w:lang w:val="en-US"/>
        </w:rPr>
      </w:pPr>
    </w:p>
    <w:p w:rsidR="00E92CA3" w:rsidRDefault="00E92CA3" w:rsidP="00C03113">
      <w:pPr>
        <w:numPr>
          <w:ilvl w:val="0"/>
          <w:numId w:val="43"/>
        </w:numPr>
        <w:ind w:right="26"/>
        <w:jc w:val="both"/>
        <w:rPr>
          <w:lang w:val="en-US"/>
        </w:rPr>
      </w:pPr>
      <w:r>
        <w:rPr>
          <w:lang w:val="en-US"/>
        </w:rPr>
        <w:t>Greece’s National Programme for Substantive Gender Equality is built around three pillars: improvement, enhancement and implementation of legislation, special policies for gender equ</w:t>
      </w:r>
      <w:r w:rsidR="00081BCB">
        <w:rPr>
          <w:lang w:val="en-US"/>
        </w:rPr>
        <w:t xml:space="preserve">ality and gender mainstreaming. </w:t>
      </w:r>
      <w:r>
        <w:rPr>
          <w:lang w:val="en-US"/>
        </w:rPr>
        <w:t xml:space="preserve">In the context of the above </w:t>
      </w:r>
      <w:r>
        <w:rPr>
          <w:lang w:val="en-US"/>
        </w:rPr>
        <w:lastRenderedPageBreak/>
        <w:t xml:space="preserve">mentioned Programme, the following actions in brief have been implemented (indicative reference): </w:t>
      </w:r>
    </w:p>
    <w:p w:rsidR="00C03113" w:rsidRDefault="00C03113" w:rsidP="00E92CA3">
      <w:pPr>
        <w:ind w:left="360" w:right="26"/>
        <w:jc w:val="both"/>
        <w:rPr>
          <w:u w:val="single"/>
          <w:lang w:val="en-US"/>
        </w:rPr>
      </w:pPr>
    </w:p>
    <w:p w:rsidR="00E92CA3" w:rsidRPr="0014785D" w:rsidRDefault="00E92CA3" w:rsidP="00C03113">
      <w:pPr>
        <w:ind w:right="26"/>
        <w:jc w:val="both"/>
        <w:rPr>
          <w:u w:val="single"/>
          <w:lang w:val="en-US"/>
        </w:rPr>
      </w:pPr>
      <w:r w:rsidRPr="0014785D">
        <w:rPr>
          <w:u w:val="single"/>
          <w:lang w:val="en-US"/>
        </w:rPr>
        <w:t>Gender policies</w:t>
      </w:r>
    </w:p>
    <w:p w:rsidR="00E92CA3" w:rsidRDefault="00E92CA3" w:rsidP="00E92CA3">
      <w:pPr>
        <w:ind w:right="26"/>
        <w:jc w:val="both"/>
        <w:rPr>
          <w:lang w:val="en-US"/>
        </w:rPr>
      </w:pPr>
    </w:p>
    <w:p w:rsidR="00E92CA3" w:rsidRDefault="00E92CA3" w:rsidP="00E92CA3">
      <w:pPr>
        <w:numPr>
          <w:ilvl w:val="0"/>
          <w:numId w:val="29"/>
        </w:numPr>
        <w:ind w:right="26"/>
        <w:jc w:val="both"/>
        <w:rPr>
          <w:lang w:val="en-US"/>
        </w:rPr>
      </w:pPr>
      <w:r>
        <w:rPr>
          <w:lang w:val="en-US"/>
        </w:rPr>
        <w:t>Creation and operation of a comprehensive structure for prevention, combating and support of victims of gender-based violence throughout the country (Counseling Centers and Shelters included) as clearly depicted at the National Action Plan on Violence against Women 2009-2013, which has been incorporated in the National Programme for Substantive Gender Equality 2010-2013).</w:t>
      </w:r>
    </w:p>
    <w:p w:rsidR="00E92CA3" w:rsidRDefault="00E92CA3" w:rsidP="00E92CA3">
      <w:pPr>
        <w:numPr>
          <w:ilvl w:val="0"/>
          <w:numId w:val="29"/>
        </w:numPr>
        <w:ind w:right="26"/>
        <w:jc w:val="both"/>
        <w:rPr>
          <w:lang w:val="en-US"/>
        </w:rPr>
      </w:pPr>
      <w:r>
        <w:rPr>
          <w:lang w:val="en-US"/>
        </w:rPr>
        <w:t xml:space="preserve">Operation of the bilingual (Greek and English) telephone line SOS 15900 for the support of victims of gender-based violence. The line operates on a 24- hour basis / 365 days per year and offers specialized information and counseling services to women – victims of all forms of violence (domestic violence, rape, sexual harassment, trafficking in human beings).  </w:t>
      </w:r>
    </w:p>
    <w:p w:rsidR="00E92CA3" w:rsidRDefault="00E92CA3" w:rsidP="00E92CA3">
      <w:pPr>
        <w:numPr>
          <w:ilvl w:val="0"/>
          <w:numId w:val="29"/>
        </w:numPr>
        <w:ind w:right="26"/>
        <w:jc w:val="both"/>
        <w:rPr>
          <w:lang w:val="en-US"/>
        </w:rPr>
      </w:pPr>
      <w:r>
        <w:rPr>
          <w:lang w:val="en-US"/>
        </w:rPr>
        <w:t xml:space="preserve">Creation of a Structure of Monitoring Policies on Gender Equality through the establishment of a specialized Mechanism / Observatory, aiming at the supervision and monitoring </w:t>
      </w:r>
      <w:r w:rsidR="00081BCB">
        <w:rPr>
          <w:lang w:val="en-US"/>
        </w:rPr>
        <w:t xml:space="preserve">of </w:t>
      </w:r>
      <w:r>
        <w:rPr>
          <w:lang w:val="en-US"/>
        </w:rPr>
        <w:t xml:space="preserve">gender </w:t>
      </w:r>
      <w:r w:rsidR="00081BCB">
        <w:rPr>
          <w:lang w:val="en-US"/>
        </w:rPr>
        <w:t>equality in all public policies</w:t>
      </w:r>
      <w:r>
        <w:rPr>
          <w:lang w:val="en-US"/>
        </w:rPr>
        <w:t>, as well as gender impact assessment and gender mainstreaming in public administration and local government .</w:t>
      </w:r>
    </w:p>
    <w:p w:rsidR="00E92CA3" w:rsidRDefault="00E92CA3" w:rsidP="00E92CA3">
      <w:pPr>
        <w:numPr>
          <w:ilvl w:val="0"/>
          <w:numId w:val="29"/>
        </w:numPr>
        <w:ind w:right="26"/>
        <w:jc w:val="both"/>
        <w:rPr>
          <w:lang w:val="en-US"/>
        </w:rPr>
      </w:pPr>
      <w:r>
        <w:rPr>
          <w:lang w:val="en-US"/>
        </w:rPr>
        <w:t xml:space="preserve">Support of Women’s Organizations and NGOs specialized in gender equality and the protection of human rights for the elaboration and implementation of Action Plans in favor of gender equality for a duration of two years. </w:t>
      </w:r>
    </w:p>
    <w:p w:rsidR="00E92CA3" w:rsidRDefault="00E92CA3" w:rsidP="00E92CA3">
      <w:pPr>
        <w:numPr>
          <w:ilvl w:val="0"/>
          <w:numId w:val="29"/>
        </w:numPr>
        <w:ind w:right="26"/>
        <w:jc w:val="both"/>
        <w:rPr>
          <w:lang w:val="en-US"/>
        </w:rPr>
      </w:pPr>
      <w:r>
        <w:rPr>
          <w:lang w:val="en-US"/>
        </w:rPr>
        <w:t>Elaboration of a Manual for the professionals dealing with refugees, aiming at the protection of female refugees. This Manual was compiled by the General Secretariat for Gender Equality in cooperation with the U.N. High Commission for Refugees.</w:t>
      </w:r>
    </w:p>
    <w:p w:rsidR="00E92CA3" w:rsidRDefault="00E92CA3" w:rsidP="00E92CA3">
      <w:pPr>
        <w:numPr>
          <w:ilvl w:val="0"/>
          <w:numId w:val="29"/>
        </w:numPr>
        <w:ind w:right="26"/>
        <w:jc w:val="both"/>
        <w:rPr>
          <w:lang w:val="en-US"/>
        </w:rPr>
      </w:pPr>
      <w:r>
        <w:rPr>
          <w:lang w:val="en-US"/>
        </w:rPr>
        <w:t>Upgrading of the services offered by the Library of Equality and Gender Issues / General Secretariat for Gender Equality through digitalization and adoption of advanced information systems.</w:t>
      </w:r>
    </w:p>
    <w:p w:rsidR="00E92CA3" w:rsidRDefault="00E92CA3" w:rsidP="00E92CA3">
      <w:pPr>
        <w:numPr>
          <w:ilvl w:val="0"/>
          <w:numId w:val="29"/>
        </w:numPr>
        <w:ind w:right="26"/>
        <w:jc w:val="both"/>
        <w:rPr>
          <w:lang w:val="en-US"/>
        </w:rPr>
      </w:pPr>
      <w:r>
        <w:rPr>
          <w:lang w:val="en-US"/>
        </w:rPr>
        <w:t xml:space="preserve">Implementation of a specific Project by OAED (the Manpower Employment Organization) aiming at the promotion of female entrepreneurship for 4,000 unemployed women aged 22-64. The maximum public cost of the Project, initiated by the competent Ministry of Labor and Social </w:t>
      </w:r>
      <w:r w:rsidR="00081BCB">
        <w:rPr>
          <w:lang w:val="en-US"/>
        </w:rPr>
        <w:t>Protection has</w:t>
      </w:r>
      <w:r>
        <w:rPr>
          <w:lang w:val="en-US"/>
        </w:rPr>
        <w:t xml:space="preserve"> been estimated to 96,000,000 euros.</w:t>
      </w:r>
    </w:p>
    <w:p w:rsidR="00E92CA3" w:rsidRDefault="00E92CA3" w:rsidP="00E92CA3">
      <w:pPr>
        <w:numPr>
          <w:ilvl w:val="0"/>
          <w:numId w:val="29"/>
        </w:numPr>
        <w:ind w:right="26"/>
        <w:jc w:val="both"/>
        <w:rPr>
          <w:lang w:val="en-US"/>
        </w:rPr>
      </w:pPr>
      <w:r>
        <w:rPr>
          <w:lang w:val="en-US"/>
        </w:rPr>
        <w:t xml:space="preserve">Financial support of employed mothers, depending on their income, whose children attend kindergartens through the offer of special coupons/vouchers by the Ministry of Labor and Social Protection.       </w:t>
      </w:r>
    </w:p>
    <w:p w:rsidR="00E92CA3" w:rsidRDefault="00E92CA3" w:rsidP="00E92CA3">
      <w:pPr>
        <w:numPr>
          <w:ilvl w:val="0"/>
          <w:numId w:val="29"/>
        </w:numPr>
        <w:ind w:right="26"/>
        <w:jc w:val="both"/>
        <w:rPr>
          <w:lang w:val="en-US"/>
        </w:rPr>
      </w:pPr>
      <w:r>
        <w:rPr>
          <w:lang w:val="en-US"/>
        </w:rPr>
        <w:t xml:space="preserve">National Campaign for information and sensitization of the public on violence against women. The emphasis has been put on the operation of the telephone line SOS 15900 through the social message </w:t>
      </w:r>
      <w:r w:rsidR="00081BCB">
        <w:rPr>
          <w:lang w:val="en-US"/>
        </w:rPr>
        <w:t>“You are not the only one</w:t>
      </w:r>
      <w:r>
        <w:rPr>
          <w:lang w:val="en-US"/>
        </w:rPr>
        <w:t>.  You are not alone</w:t>
      </w:r>
      <w:r w:rsidR="00081BCB">
        <w:rPr>
          <w:lang w:val="en-US"/>
        </w:rPr>
        <w:t>”</w:t>
      </w:r>
      <w:r>
        <w:rPr>
          <w:lang w:val="en-US"/>
        </w:rPr>
        <w:t>.</w:t>
      </w:r>
    </w:p>
    <w:p w:rsidR="00822681" w:rsidRDefault="00822681">
      <w:pPr>
        <w:ind w:right="26"/>
        <w:jc w:val="both"/>
        <w:rPr>
          <w:u w:val="single"/>
          <w:lang w:val="en-US"/>
        </w:rPr>
      </w:pPr>
    </w:p>
    <w:p w:rsidR="00822681" w:rsidRDefault="00822681">
      <w:pPr>
        <w:ind w:right="26"/>
        <w:jc w:val="both"/>
        <w:rPr>
          <w:u w:val="single"/>
          <w:lang w:val="en-US"/>
        </w:rPr>
      </w:pPr>
      <w:r>
        <w:rPr>
          <w:u w:val="single"/>
          <w:lang w:val="en-US"/>
        </w:rPr>
        <w:t>Gender Mainstreaming</w:t>
      </w:r>
    </w:p>
    <w:p w:rsidR="00822681" w:rsidRDefault="00822681">
      <w:pPr>
        <w:numPr>
          <w:ilvl w:val="0"/>
          <w:numId w:val="30"/>
        </w:numPr>
        <w:ind w:right="26"/>
        <w:jc w:val="both"/>
        <w:rPr>
          <w:lang w:val="en-GB"/>
        </w:rPr>
      </w:pPr>
      <w:r>
        <w:rPr>
          <w:lang w:val="en-US"/>
        </w:rPr>
        <w:t>Civil servant gender equality training and awareness raising: The National Center for Public Administration and Local Government organizes relevant seminars for civil servants. Similar seminars are organized for members of the judicial corps, the diplomatic corps, the police and administrators of the local government.</w:t>
      </w:r>
    </w:p>
    <w:p w:rsidR="00822681" w:rsidRDefault="00822681">
      <w:pPr>
        <w:numPr>
          <w:ilvl w:val="0"/>
          <w:numId w:val="30"/>
        </w:numPr>
        <w:spacing w:before="60" w:after="60"/>
        <w:ind w:right="26"/>
        <w:jc w:val="both"/>
        <w:rPr>
          <w:lang w:val="en-US"/>
        </w:rPr>
      </w:pPr>
      <w:r>
        <w:rPr>
          <w:lang w:val="en-US"/>
        </w:rPr>
        <w:lastRenderedPageBreak/>
        <w:t>Gender mainstreaming for public policies: Design and standardization of a Gender Mainstreaming System in public poli</w:t>
      </w:r>
      <w:r w:rsidR="00081BCB">
        <w:rPr>
          <w:lang w:val="en-US"/>
        </w:rPr>
        <w:t>cies (central, regional, local)</w:t>
      </w:r>
      <w:r>
        <w:rPr>
          <w:lang w:val="en-US"/>
        </w:rPr>
        <w:t xml:space="preserve">. </w:t>
      </w:r>
    </w:p>
    <w:p w:rsidR="00822681" w:rsidRDefault="00822681">
      <w:pPr>
        <w:numPr>
          <w:ilvl w:val="0"/>
          <w:numId w:val="30"/>
        </w:numPr>
        <w:spacing w:before="60" w:after="60"/>
        <w:ind w:right="26"/>
        <w:jc w:val="both"/>
        <w:rPr>
          <w:lang w:val="en-US"/>
        </w:rPr>
      </w:pPr>
      <w:r>
        <w:rPr>
          <w:lang w:val="en-US"/>
        </w:rPr>
        <w:t>Gender mainstreaming in public policies monitoring structure: the preparation and development of the basic infrastructure of the Gender Equality Monitoring Structure as well as development and operation of the necessary information infrastructures and systems are under way. Its objective, once it is established, is to monitor all public policies through the use of indices and on the basis of the Beijing Platform of Action.</w:t>
      </w:r>
    </w:p>
    <w:p w:rsidR="00822681" w:rsidRDefault="00822681">
      <w:pPr>
        <w:ind w:right="26"/>
        <w:jc w:val="both"/>
        <w:rPr>
          <w:lang w:val="en-US"/>
        </w:rPr>
      </w:pPr>
    </w:p>
    <w:p w:rsidR="00822681" w:rsidRDefault="00822681">
      <w:pPr>
        <w:ind w:right="26"/>
        <w:jc w:val="center"/>
        <w:rPr>
          <w:b/>
          <w:lang w:val="en-US"/>
        </w:rPr>
      </w:pPr>
      <w:r>
        <w:rPr>
          <w:b/>
          <w:lang w:val="en-US"/>
        </w:rPr>
        <w:t>ARTICLE 6</w:t>
      </w:r>
    </w:p>
    <w:p w:rsidR="00822681" w:rsidRDefault="00822681">
      <w:pPr>
        <w:ind w:right="26"/>
        <w:jc w:val="both"/>
        <w:rPr>
          <w:lang w:val="en-US"/>
        </w:rPr>
      </w:pPr>
    </w:p>
    <w:p w:rsidR="00822681" w:rsidRDefault="00822681">
      <w:pPr>
        <w:ind w:right="26"/>
        <w:jc w:val="both"/>
        <w:rPr>
          <w:b/>
          <w:lang w:val="en-US"/>
        </w:rPr>
      </w:pPr>
      <w:r>
        <w:rPr>
          <w:b/>
          <w:lang w:val="en-US"/>
        </w:rPr>
        <w:t>Employment in rural areas (para. 14 of the Committee’s Concluding Observations)</w:t>
      </w:r>
    </w:p>
    <w:p w:rsidR="00822681" w:rsidRDefault="00822681" w:rsidP="00C03113">
      <w:pPr>
        <w:numPr>
          <w:ilvl w:val="0"/>
          <w:numId w:val="43"/>
        </w:numPr>
        <w:ind w:right="26"/>
        <w:jc w:val="both"/>
        <w:rPr>
          <w:lang w:val="en-US"/>
        </w:rPr>
      </w:pPr>
      <w:r>
        <w:rPr>
          <w:lang w:val="en-US"/>
        </w:rPr>
        <w:t xml:space="preserve">The Greek government considers the rural economy as leverage in the national economy and applies policies to prevent internal migration to the cities by providing cultural life, access to basic services such as health and educational services and also opportunities for recreational activities in the countryside. The Ministry of Rural Development and Food has passed over the </w:t>
      </w:r>
      <w:r w:rsidR="00B4782D">
        <w:rPr>
          <w:lang w:val="en-US"/>
        </w:rPr>
        <w:t>l</w:t>
      </w:r>
      <w:r>
        <w:rPr>
          <w:lang w:val="en-US"/>
        </w:rPr>
        <w:t>ast years legislation concerning the shaping of agricultural cooperatives of different degrees depending on the size of the population. There are also opportunities for women to manage some cooperatives or developing economic activities, like food processing, traditional handicrafts etc., making a vital contribution to the local economy.</w:t>
      </w:r>
    </w:p>
    <w:p w:rsidR="00822681" w:rsidRDefault="00822681">
      <w:pPr>
        <w:ind w:right="26"/>
        <w:jc w:val="both"/>
        <w:rPr>
          <w:u w:val="single"/>
          <w:lang w:val="en-US"/>
        </w:rPr>
      </w:pPr>
    </w:p>
    <w:p w:rsidR="00822681" w:rsidRDefault="00822681">
      <w:pPr>
        <w:autoSpaceDE w:val="0"/>
        <w:autoSpaceDN w:val="0"/>
        <w:adjustRightInd w:val="0"/>
        <w:ind w:right="26"/>
        <w:jc w:val="both"/>
        <w:rPr>
          <w:b/>
          <w:bCs/>
          <w:iCs/>
          <w:lang w:val="en-GB"/>
        </w:rPr>
      </w:pPr>
      <w:r>
        <w:rPr>
          <w:b/>
          <w:bCs/>
          <w:iCs/>
          <w:lang w:val="en-GB"/>
        </w:rPr>
        <w:t>Statistical data on employment (para</w:t>
      </w:r>
      <w:r w:rsidR="00081BCB">
        <w:rPr>
          <w:b/>
          <w:bCs/>
          <w:iCs/>
          <w:lang w:val="en-GB"/>
        </w:rPr>
        <w:t xml:space="preserve">. </w:t>
      </w:r>
      <w:r>
        <w:rPr>
          <w:b/>
          <w:bCs/>
          <w:iCs/>
          <w:lang w:val="en-GB"/>
        </w:rPr>
        <w:t>35 of the Committee’s Concluding Observations)</w:t>
      </w:r>
    </w:p>
    <w:p w:rsidR="00822681" w:rsidRDefault="00822681">
      <w:pPr>
        <w:autoSpaceDE w:val="0"/>
        <w:autoSpaceDN w:val="0"/>
        <w:adjustRightInd w:val="0"/>
        <w:ind w:right="26"/>
        <w:jc w:val="both"/>
        <w:rPr>
          <w:b/>
          <w:lang w:val="en-GB"/>
        </w:rPr>
      </w:pPr>
    </w:p>
    <w:p w:rsidR="00822681" w:rsidRDefault="00822681" w:rsidP="00C03113">
      <w:pPr>
        <w:autoSpaceDE w:val="0"/>
        <w:autoSpaceDN w:val="0"/>
        <w:adjustRightInd w:val="0"/>
        <w:ind w:right="26"/>
        <w:jc w:val="both"/>
        <w:rPr>
          <w:b/>
          <w:i/>
          <w:lang w:val="en-GB"/>
        </w:rPr>
      </w:pPr>
      <w:r>
        <w:rPr>
          <w:b/>
          <w:i/>
          <w:lang w:val="en-GB"/>
        </w:rPr>
        <w:t xml:space="preserve">Labour Force </w:t>
      </w:r>
    </w:p>
    <w:p w:rsidR="00294073" w:rsidRDefault="00294073" w:rsidP="00C03113">
      <w:pPr>
        <w:numPr>
          <w:ilvl w:val="0"/>
          <w:numId w:val="43"/>
        </w:numPr>
        <w:autoSpaceDE w:val="0"/>
        <w:autoSpaceDN w:val="0"/>
        <w:adjustRightInd w:val="0"/>
        <w:ind w:right="26"/>
        <w:jc w:val="both"/>
        <w:rPr>
          <w:lang w:val="en-GB"/>
        </w:rPr>
      </w:pPr>
      <w:r>
        <w:rPr>
          <w:lang w:val="en-GB"/>
        </w:rPr>
        <w:t>According to the Hellenic Statistic</w:t>
      </w:r>
      <w:r w:rsidRPr="00294073">
        <w:rPr>
          <w:lang w:val="en-GB"/>
        </w:rPr>
        <w:t>al</w:t>
      </w:r>
      <w:r>
        <w:rPr>
          <w:lang w:val="en-GB"/>
        </w:rPr>
        <w:t xml:space="preserve"> Authority (EL.STAT.), t</w:t>
      </w:r>
      <w:r w:rsidRPr="00097D62">
        <w:rPr>
          <w:lang w:val="en-GB"/>
        </w:rPr>
        <w:t xml:space="preserve">he </w:t>
      </w:r>
      <w:r w:rsidRPr="009015E2">
        <w:rPr>
          <w:b/>
          <w:lang w:val="en-GB"/>
        </w:rPr>
        <w:t>Labour Force</w:t>
      </w:r>
      <w:r w:rsidRPr="00097D62">
        <w:rPr>
          <w:lang w:val="en-GB"/>
        </w:rPr>
        <w:t xml:space="preserve"> (ages 15+) in Greece included 4,967,625 persons in</w:t>
      </w:r>
      <w:r>
        <w:rPr>
          <w:lang w:val="en-GB"/>
        </w:rPr>
        <w:t xml:space="preserve"> the year of </w:t>
      </w:r>
      <w:r w:rsidRPr="00097D62">
        <w:rPr>
          <w:lang w:val="en-GB"/>
        </w:rPr>
        <w:t xml:space="preserve">2011 </w:t>
      </w:r>
      <w:r>
        <w:rPr>
          <w:lang w:val="en-GB"/>
        </w:rPr>
        <w:t xml:space="preserve">[that is, </w:t>
      </w:r>
      <w:r w:rsidRPr="00097D62">
        <w:rPr>
          <w:lang w:val="en-GB"/>
        </w:rPr>
        <w:t xml:space="preserve">2,870,375 men </w:t>
      </w:r>
      <w:r>
        <w:rPr>
          <w:lang w:val="en-GB"/>
        </w:rPr>
        <w:t xml:space="preserve">(or 57.8% of the total) </w:t>
      </w:r>
      <w:r w:rsidRPr="00097D62">
        <w:rPr>
          <w:lang w:val="en-GB"/>
        </w:rPr>
        <w:t>and 2,097,250 women</w:t>
      </w:r>
      <w:r>
        <w:rPr>
          <w:lang w:val="en-GB"/>
        </w:rPr>
        <w:t xml:space="preserve"> or 42.2% of the total]</w:t>
      </w:r>
      <w:r w:rsidRPr="00097D62">
        <w:rPr>
          <w:lang w:val="en-GB"/>
        </w:rPr>
        <w:t xml:space="preserve">, exhibiting a decline of 1% against </w:t>
      </w:r>
      <w:r w:rsidRPr="00294073">
        <w:rPr>
          <w:lang w:val="en-GB"/>
        </w:rPr>
        <w:t xml:space="preserve">the </w:t>
      </w:r>
      <w:r w:rsidR="004C493E">
        <w:rPr>
          <w:lang w:val="en-GB"/>
        </w:rPr>
        <w:t xml:space="preserve">2010 figure (see </w:t>
      </w:r>
      <w:r w:rsidR="00602BCC">
        <w:rPr>
          <w:lang w:val="en-GB"/>
        </w:rPr>
        <w:t xml:space="preserve">Statistical </w:t>
      </w:r>
      <w:r w:rsidR="004C493E">
        <w:rPr>
          <w:lang w:val="en-GB"/>
        </w:rPr>
        <w:t xml:space="preserve">Annex </w:t>
      </w:r>
      <w:r w:rsidR="00602BCC">
        <w:rPr>
          <w:lang w:val="en-GB"/>
        </w:rPr>
        <w:t>for Article 6</w:t>
      </w:r>
      <w:r w:rsidR="004C493E">
        <w:rPr>
          <w:lang w:val="en-GB"/>
        </w:rPr>
        <w:t xml:space="preserve"> – </w:t>
      </w:r>
      <w:r w:rsidR="00C76440">
        <w:rPr>
          <w:lang w:val="en-GB"/>
        </w:rPr>
        <w:t xml:space="preserve">Annex 1, </w:t>
      </w:r>
      <w:r w:rsidR="004C493E">
        <w:rPr>
          <w:lang w:val="en-GB"/>
        </w:rPr>
        <w:t>table 1A).</w:t>
      </w:r>
    </w:p>
    <w:p w:rsidR="00294073" w:rsidRPr="00AF374C" w:rsidRDefault="00294073" w:rsidP="00294073">
      <w:pPr>
        <w:ind w:right="26"/>
        <w:jc w:val="both"/>
        <w:rPr>
          <w:i/>
          <w:lang w:val="en-GB"/>
        </w:rPr>
      </w:pPr>
    </w:p>
    <w:p w:rsidR="00294073" w:rsidRPr="00843CF2" w:rsidRDefault="00294073" w:rsidP="00C03113">
      <w:pPr>
        <w:numPr>
          <w:ilvl w:val="0"/>
          <w:numId w:val="43"/>
        </w:numPr>
        <w:autoSpaceDE w:val="0"/>
        <w:autoSpaceDN w:val="0"/>
        <w:adjustRightInd w:val="0"/>
        <w:ind w:right="26"/>
        <w:jc w:val="both"/>
        <w:rPr>
          <w:lang w:val="en-GB"/>
        </w:rPr>
      </w:pPr>
      <w:r w:rsidRPr="00843CF2">
        <w:rPr>
          <w:lang w:val="en-GB"/>
        </w:rPr>
        <w:t xml:space="preserve">Turning to the </w:t>
      </w:r>
      <w:r w:rsidRPr="009015E2">
        <w:rPr>
          <w:b/>
          <w:lang w:val="en-GB"/>
        </w:rPr>
        <w:t>activity rate</w:t>
      </w:r>
      <w:r w:rsidRPr="00843CF2">
        <w:rPr>
          <w:lang w:val="en-GB"/>
        </w:rPr>
        <w:t xml:space="preserve"> for people in the 15-64 age group (i.e. share of employed and unemployed in the 15-64 age group as a proportion of total population in the same age group), we observe that it settled </w:t>
      </w:r>
      <w:r w:rsidRPr="00EE6441">
        <w:rPr>
          <w:lang w:val="en-GB"/>
        </w:rPr>
        <w:t>at 67.7% in 2011, lower</w:t>
      </w:r>
      <w:r w:rsidRPr="00843CF2">
        <w:rPr>
          <w:lang w:val="en-GB"/>
        </w:rPr>
        <w:t xml:space="preserve"> from the 2010-level of 68.2%</w:t>
      </w:r>
      <w:r>
        <w:rPr>
          <w:lang w:val="en-GB"/>
        </w:rPr>
        <w:t>, as well as reversing a previous uptrend in the 2001-2010 period</w:t>
      </w:r>
      <w:r w:rsidRPr="00843CF2">
        <w:rPr>
          <w:lang w:val="en-GB"/>
        </w:rPr>
        <w:t>. Moreover, the activity rate (ages 15-64) of women</w:t>
      </w:r>
      <w:r>
        <w:rPr>
          <w:lang w:val="en-GB"/>
        </w:rPr>
        <w:t xml:space="preserve"> in 2011</w:t>
      </w:r>
      <w:r w:rsidRPr="00843CF2">
        <w:rPr>
          <w:lang w:val="en-GB"/>
        </w:rPr>
        <w:t xml:space="preserve"> is</w:t>
      </w:r>
      <w:r>
        <w:rPr>
          <w:lang w:val="en-GB"/>
        </w:rPr>
        <w:t xml:space="preserve"> much</w:t>
      </w:r>
      <w:r w:rsidRPr="00843CF2">
        <w:rPr>
          <w:lang w:val="en-GB"/>
        </w:rPr>
        <w:t xml:space="preserve"> lower than the activity</w:t>
      </w:r>
      <w:r>
        <w:rPr>
          <w:lang w:val="en-GB"/>
        </w:rPr>
        <w:t xml:space="preserve"> </w:t>
      </w:r>
      <w:r w:rsidRPr="00843CF2">
        <w:rPr>
          <w:lang w:val="en-GB"/>
        </w:rPr>
        <w:t>rate of men</w:t>
      </w:r>
      <w:r>
        <w:rPr>
          <w:lang w:val="en-GB"/>
        </w:rPr>
        <w:t xml:space="preserve"> in 2011</w:t>
      </w:r>
      <w:r w:rsidRPr="00843CF2">
        <w:rPr>
          <w:lang w:val="en-GB"/>
        </w:rPr>
        <w:t xml:space="preserve"> (see </w:t>
      </w:r>
      <w:r w:rsidR="00602BCC">
        <w:rPr>
          <w:lang w:val="en-GB"/>
        </w:rPr>
        <w:t>Statistical Annex for Article 6</w:t>
      </w:r>
      <w:r w:rsidR="004C493E">
        <w:rPr>
          <w:lang w:val="en-GB"/>
        </w:rPr>
        <w:t xml:space="preserve"> – </w:t>
      </w:r>
      <w:r w:rsidR="00C76440">
        <w:rPr>
          <w:lang w:val="en-GB"/>
        </w:rPr>
        <w:t xml:space="preserve">Annex 1, </w:t>
      </w:r>
      <w:r w:rsidR="004C493E">
        <w:rPr>
          <w:lang w:val="en-GB"/>
        </w:rPr>
        <w:t>Table 1B)</w:t>
      </w:r>
      <w:r w:rsidRPr="00843CF2">
        <w:rPr>
          <w:lang w:val="en-GB"/>
        </w:rPr>
        <w:t xml:space="preserve">  </w:t>
      </w:r>
    </w:p>
    <w:p w:rsidR="00294073" w:rsidRPr="00401566" w:rsidRDefault="00294073" w:rsidP="00294073">
      <w:pPr>
        <w:autoSpaceDE w:val="0"/>
        <w:autoSpaceDN w:val="0"/>
        <w:adjustRightInd w:val="0"/>
        <w:ind w:right="26"/>
        <w:jc w:val="both"/>
        <w:rPr>
          <w:b/>
          <w:sz w:val="10"/>
          <w:szCs w:val="10"/>
          <w:highlight w:val="cyan"/>
          <w:lang w:val="en-GB"/>
        </w:rPr>
      </w:pPr>
    </w:p>
    <w:p w:rsidR="00822681" w:rsidRDefault="00822681">
      <w:pPr>
        <w:autoSpaceDE w:val="0"/>
        <w:autoSpaceDN w:val="0"/>
        <w:adjustRightInd w:val="0"/>
        <w:ind w:right="26"/>
        <w:jc w:val="both"/>
        <w:rPr>
          <w:b/>
          <w:i/>
          <w:lang w:val="en-GB"/>
        </w:rPr>
      </w:pPr>
    </w:p>
    <w:p w:rsidR="00822681" w:rsidRDefault="00822681" w:rsidP="00C03113">
      <w:pPr>
        <w:autoSpaceDE w:val="0"/>
        <w:autoSpaceDN w:val="0"/>
        <w:adjustRightInd w:val="0"/>
        <w:ind w:right="26"/>
        <w:jc w:val="both"/>
        <w:rPr>
          <w:b/>
          <w:i/>
          <w:lang w:val="en-GB"/>
        </w:rPr>
      </w:pPr>
      <w:r>
        <w:rPr>
          <w:b/>
          <w:i/>
          <w:lang w:val="en-GB"/>
        </w:rPr>
        <w:t xml:space="preserve">Employment </w:t>
      </w:r>
    </w:p>
    <w:p w:rsidR="00294073" w:rsidRPr="00E15551" w:rsidRDefault="00294073" w:rsidP="00C03113">
      <w:pPr>
        <w:numPr>
          <w:ilvl w:val="0"/>
          <w:numId w:val="43"/>
        </w:numPr>
        <w:autoSpaceDE w:val="0"/>
        <w:autoSpaceDN w:val="0"/>
        <w:adjustRightInd w:val="0"/>
        <w:ind w:right="26"/>
        <w:jc w:val="both"/>
        <w:rPr>
          <w:lang w:val="en-GB"/>
        </w:rPr>
      </w:pPr>
      <w:r w:rsidRPr="00E15551">
        <w:rPr>
          <w:lang w:val="en-GB"/>
        </w:rPr>
        <w:t xml:space="preserve">As for </w:t>
      </w:r>
      <w:r w:rsidRPr="00E15551">
        <w:rPr>
          <w:b/>
          <w:lang w:val="en-GB"/>
        </w:rPr>
        <w:t>employment</w:t>
      </w:r>
      <w:r w:rsidRPr="00E15551">
        <w:rPr>
          <w:lang w:val="en-GB"/>
        </w:rPr>
        <w:t xml:space="preserve">, 4,090,700 persons aged above 15 years were employed in 2011, </w:t>
      </w:r>
      <w:r>
        <w:rPr>
          <w:lang w:val="en-GB"/>
        </w:rPr>
        <w:t>[</w:t>
      </w:r>
      <w:r w:rsidRPr="00E15551">
        <w:rPr>
          <w:lang w:val="en-GB"/>
        </w:rPr>
        <w:t>2,441,475 men</w:t>
      </w:r>
      <w:r>
        <w:rPr>
          <w:lang w:val="en-GB"/>
        </w:rPr>
        <w:t xml:space="preserve"> or 59.7% of the total</w:t>
      </w:r>
      <w:r w:rsidRPr="00E15551">
        <w:rPr>
          <w:lang w:val="en-GB"/>
        </w:rPr>
        <w:t xml:space="preserve"> and 1,649,250</w:t>
      </w:r>
      <w:r>
        <w:rPr>
          <w:lang w:val="en-GB"/>
        </w:rPr>
        <w:t xml:space="preserve"> women or 40.3% of the total]</w:t>
      </w:r>
      <w:r w:rsidRPr="00E15551">
        <w:rPr>
          <w:lang w:val="en-GB"/>
        </w:rPr>
        <w:t xml:space="preserve">. The average number of employed people (ages 15+) declined by 6.8% in 2011 year-on-year, following a decline of 2.7% in 2010. We note that the total number of employed people (ages 15+) in the 4th quarter of 2011 declined below the 4 million people level, to 3.93 million people, for the first time since the 2nd quarter of 1998. </w:t>
      </w:r>
      <w:r w:rsidRPr="00294073">
        <w:rPr>
          <w:lang w:val="en-GB"/>
        </w:rPr>
        <w:t xml:space="preserve">Employment in 2011 declined in almost all economic sectors, however recession particularly affected cyclical sectors, such as construction, manufacturing and trade. </w:t>
      </w:r>
      <w:r w:rsidRPr="00294073">
        <w:rPr>
          <w:lang w:val="en-GB"/>
        </w:rPr>
        <w:lastRenderedPageBreak/>
        <w:t>Employed people (in the 15-74 age group) reached 3,892.0 thousand in January 2012 and 3,872.2thousand in February 2012 (seasonally adjusted figures)</w:t>
      </w:r>
      <w:r w:rsidR="004C493E">
        <w:rPr>
          <w:lang w:val="en-GB"/>
        </w:rPr>
        <w:t xml:space="preserve"> (see </w:t>
      </w:r>
      <w:r w:rsidR="00602BCC">
        <w:rPr>
          <w:lang w:val="en-GB"/>
        </w:rPr>
        <w:t>Statistical Annex for Article 6</w:t>
      </w:r>
      <w:r w:rsidR="004C493E">
        <w:rPr>
          <w:lang w:val="en-GB"/>
        </w:rPr>
        <w:t xml:space="preserve"> – </w:t>
      </w:r>
      <w:r w:rsidR="00C76440">
        <w:rPr>
          <w:lang w:val="en-GB"/>
        </w:rPr>
        <w:t xml:space="preserve">Annex 1, </w:t>
      </w:r>
      <w:r w:rsidR="004C493E">
        <w:rPr>
          <w:lang w:val="en-GB"/>
        </w:rPr>
        <w:t>Table 2A)</w:t>
      </w:r>
      <w:r w:rsidRPr="00294073">
        <w:rPr>
          <w:lang w:val="en-GB"/>
        </w:rPr>
        <w:t xml:space="preserve">. </w:t>
      </w:r>
    </w:p>
    <w:p w:rsidR="00602BCC" w:rsidRDefault="00602BCC" w:rsidP="00294073">
      <w:pPr>
        <w:autoSpaceDE w:val="0"/>
        <w:autoSpaceDN w:val="0"/>
        <w:adjustRightInd w:val="0"/>
        <w:ind w:right="26"/>
        <w:jc w:val="both"/>
        <w:rPr>
          <w:lang w:val="en-GB"/>
        </w:rPr>
      </w:pPr>
    </w:p>
    <w:p w:rsidR="00294073" w:rsidRPr="00E32041" w:rsidRDefault="00294073" w:rsidP="00C03113">
      <w:pPr>
        <w:numPr>
          <w:ilvl w:val="0"/>
          <w:numId w:val="43"/>
        </w:numPr>
        <w:autoSpaceDE w:val="0"/>
        <w:autoSpaceDN w:val="0"/>
        <w:adjustRightInd w:val="0"/>
        <w:ind w:right="26"/>
        <w:jc w:val="both"/>
        <w:rPr>
          <w:lang w:val="en-GB"/>
        </w:rPr>
      </w:pPr>
      <w:r w:rsidRPr="00E32041">
        <w:rPr>
          <w:lang w:val="en-GB"/>
        </w:rPr>
        <w:t xml:space="preserve">As a result of the above developments, the </w:t>
      </w:r>
      <w:r w:rsidRPr="00E32041">
        <w:rPr>
          <w:b/>
          <w:lang w:val="en-GB"/>
        </w:rPr>
        <w:t>employment rate</w:t>
      </w:r>
      <w:r w:rsidRPr="00E32041">
        <w:rPr>
          <w:lang w:val="en-GB"/>
        </w:rPr>
        <w:t xml:space="preserve"> for the </w:t>
      </w:r>
      <w:r w:rsidRPr="00E32041">
        <w:rPr>
          <w:b/>
          <w:lang w:val="en-GB"/>
        </w:rPr>
        <w:t>15-64</w:t>
      </w:r>
      <w:r w:rsidRPr="00E32041">
        <w:rPr>
          <w:lang w:val="en-GB"/>
        </w:rPr>
        <w:t xml:space="preserve"> age group settled at 55.6% in 2011, that is, lower from the 2010-level of 59.6%. The employment rate of women (for the 15-64 age bracket) settled at 45.1% in 2011, much lower from the respective </w:t>
      </w:r>
      <w:r>
        <w:rPr>
          <w:lang w:val="en-GB"/>
        </w:rPr>
        <w:t xml:space="preserve">2011 </w:t>
      </w:r>
      <w:r w:rsidRPr="00E32041">
        <w:rPr>
          <w:lang w:val="en-GB"/>
        </w:rPr>
        <w:t>rate for men (65.9%)</w:t>
      </w:r>
      <w:r w:rsidR="00602BCC">
        <w:rPr>
          <w:lang w:val="en-GB"/>
        </w:rPr>
        <w:t xml:space="preserve"> [see Statistical Annex for Article 6 – </w:t>
      </w:r>
      <w:r w:rsidR="00C76440">
        <w:rPr>
          <w:lang w:val="en-GB"/>
        </w:rPr>
        <w:t xml:space="preserve">Annex 1, </w:t>
      </w:r>
      <w:r w:rsidR="00602BCC">
        <w:rPr>
          <w:lang w:val="en-GB"/>
        </w:rPr>
        <w:t>table 2B].</w:t>
      </w:r>
    </w:p>
    <w:p w:rsidR="00B4782D" w:rsidRDefault="00B4782D" w:rsidP="00294073">
      <w:pPr>
        <w:autoSpaceDE w:val="0"/>
        <w:autoSpaceDN w:val="0"/>
        <w:adjustRightInd w:val="0"/>
        <w:jc w:val="both"/>
        <w:rPr>
          <w:lang w:val="en-GB"/>
        </w:rPr>
      </w:pPr>
    </w:p>
    <w:p w:rsidR="00294073" w:rsidRPr="00294073" w:rsidRDefault="00294073" w:rsidP="00C03113">
      <w:pPr>
        <w:numPr>
          <w:ilvl w:val="0"/>
          <w:numId w:val="43"/>
        </w:numPr>
        <w:autoSpaceDE w:val="0"/>
        <w:autoSpaceDN w:val="0"/>
        <w:adjustRightInd w:val="0"/>
        <w:jc w:val="both"/>
        <w:rPr>
          <w:lang w:val="en-GB"/>
        </w:rPr>
      </w:pPr>
      <w:r w:rsidRPr="00294073">
        <w:rPr>
          <w:lang w:val="en-GB"/>
        </w:rPr>
        <w:t xml:space="preserve">The </w:t>
      </w:r>
      <w:r w:rsidRPr="00294073">
        <w:rPr>
          <w:b/>
          <w:bCs/>
          <w:lang w:val="en-GB"/>
        </w:rPr>
        <w:t xml:space="preserve">employment rate </w:t>
      </w:r>
      <w:r w:rsidRPr="00294073">
        <w:rPr>
          <w:bCs/>
          <w:lang w:val="en-GB"/>
        </w:rPr>
        <w:t>for the</w:t>
      </w:r>
      <w:r w:rsidRPr="00294073">
        <w:rPr>
          <w:b/>
          <w:bCs/>
          <w:lang w:val="en-GB"/>
        </w:rPr>
        <w:t xml:space="preserve"> 20-64 </w:t>
      </w:r>
      <w:r w:rsidRPr="00294073">
        <w:rPr>
          <w:bCs/>
          <w:lang w:val="en-GB"/>
        </w:rPr>
        <w:t>age group</w:t>
      </w:r>
      <w:r w:rsidRPr="00294073">
        <w:rPr>
          <w:b/>
          <w:bCs/>
          <w:lang w:val="en-GB"/>
        </w:rPr>
        <w:t xml:space="preserve"> </w:t>
      </w:r>
      <w:r w:rsidRPr="00294073">
        <w:rPr>
          <w:lang w:val="en-GB"/>
        </w:rPr>
        <w:t xml:space="preserve">declined by 4.1 percentage points (pps) in </w:t>
      </w:r>
      <w:r w:rsidRPr="00294073">
        <w:rPr>
          <w:b/>
          <w:bCs/>
          <w:lang w:val="en-GB"/>
        </w:rPr>
        <w:t xml:space="preserve">2011 </w:t>
      </w:r>
      <w:r w:rsidRPr="00294073">
        <w:rPr>
          <w:lang w:val="en-GB"/>
        </w:rPr>
        <w:t xml:space="preserve">to </w:t>
      </w:r>
      <w:r w:rsidRPr="00294073">
        <w:rPr>
          <w:b/>
          <w:bCs/>
          <w:lang w:val="en-GB"/>
        </w:rPr>
        <w:t xml:space="preserve">59.9% </w:t>
      </w:r>
      <w:r w:rsidRPr="00294073">
        <w:rPr>
          <w:lang w:val="en-GB"/>
        </w:rPr>
        <w:t>from 64% in 2010. The employment rate drop was bigger among men (5.1 pps decline in the 2010-2011 period) than among women (3.1 pps) for this age group. More precisely, the employment rate for men aged 20-64 eased to 71.1% in 2011 from 76.2% in 2010, while the employment rate for women in the same age group settled at 4</w:t>
      </w:r>
      <w:r w:rsidR="00B336CC">
        <w:rPr>
          <w:lang w:val="en-GB"/>
        </w:rPr>
        <w:t xml:space="preserve">8.6% in 2011 from 51.7% in 2010 (see </w:t>
      </w:r>
      <w:r w:rsidR="00602BCC">
        <w:rPr>
          <w:lang w:val="en-GB"/>
        </w:rPr>
        <w:t>Statistical Annex for Article 6</w:t>
      </w:r>
      <w:r w:rsidR="00B336CC">
        <w:rPr>
          <w:lang w:val="en-GB"/>
        </w:rPr>
        <w:t xml:space="preserve"> – </w:t>
      </w:r>
      <w:r w:rsidR="00C76440">
        <w:rPr>
          <w:lang w:val="en-GB"/>
        </w:rPr>
        <w:t xml:space="preserve">Annex 1, </w:t>
      </w:r>
      <w:r w:rsidR="00B336CC">
        <w:rPr>
          <w:lang w:val="en-GB"/>
        </w:rPr>
        <w:t>Table 2B).</w:t>
      </w:r>
    </w:p>
    <w:p w:rsidR="00822681" w:rsidRDefault="00822681">
      <w:pPr>
        <w:ind w:right="26"/>
        <w:jc w:val="both"/>
        <w:rPr>
          <w:lang w:val="en-GB"/>
        </w:rPr>
      </w:pPr>
    </w:p>
    <w:p w:rsidR="00822681" w:rsidRDefault="00822681" w:rsidP="00555E51">
      <w:pPr>
        <w:ind w:right="26"/>
        <w:jc w:val="both"/>
        <w:rPr>
          <w:b/>
          <w:lang w:val="en-GB"/>
        </w:rPr>
      </w:pPr>
      <w:r>
        <w:rPr>
          <w:b/>
          <w:lang w:val="en-GB"/>
        </w:rPr>
        <w:t>Young people</w:t>
      </w:r>
    </w:p>
    <w:p w:rsidR="00294073" w:rsidRDefault="00294073" w:rsidP="00C03113">
      <w:pPr>
        <w:numPr>
          <w:ilvl w:val="0"/>
          <w:numId w:val="43"/>
        </w:numPr>
        <w:autoSpaceDE w:val="0"/>
        <w:autoSpaceDN w:val="0"/>
        <w:adjustRightInd w:val="0"/>
        <w:jc w:val="both"/>
        <w:rPr>
          <w:lang w:val="en-GB"/>
        </w:rPr>
      </w:pPr>
      <w:r w:rsidRPr="00294073">
        <w:rPr>
          <w:bCs/>
          <w:lang w:val="en-GB"/>
        </w:rPr>
        <w:t>Young people</w:t>
      </w:r>
      <w:r w:rsidRPr="00294073">
        <w:rPr>
          <w:b/>
          <w:bCs/>
          <w:lang w:val="en-GB"/>
        </w:rPr>
        <w:t xml:space="preserve"> </w:t>
      </w:r>
      <w:r w:rsidRPr="00294073">
        <w:rPr>
          <w:bCs/>
          <w:lang w:val="en-GB"/>
        </w:rPr>
        <w:t>in Greece</w:t>
      </w:r>
      <w:r w:rsidRPr="00294073">
        <w:rPr>
          <w:b/>
          <w:bCs/>
          <w:lang w:val="en-GB"/>
        </w:rPr>
        <w:t xml:space="preserve"> </w:t>
      </w:r>
      <w:r w:rsidRPr="00294073">
        <w:rPr>
          <w:lang w:val="en-GB"/>
        </w:rPr>
        <w:t>have been affected significantly by the decline in economic activity.</w:t>
      </w:r>
      <w:r w:rsidR="00B4782D">
        <w:rPr>
          <w:lang w:val="en-GB"/>
        </w:rPr>
        <w:t xml:space="preserve"> </w:t>
      </w:r>
      <w:r w:rsidRPr="0003184D">
        <w:rPr>
          <w:lang w:val="en-GB"/>
        </w:rPr>
        <w:t xml:space="preserve">As far as the </w:t>
      </w:r>
      <w:r w:rsidRPr="000B534F">
        <w:rPr>
          <w:b/>
          <w:lang w:val="en-GB"/>
        </w:rPr>
        <w:t>employment rate</w:t>
      </w:r>
      <w:r w:rsidRPr="0003184D">
        <w:rPr>
          <w:lang w:val="en-GB"/>
        </w:rPr>
        <w:t xml:space="preserve"> of young people aged </w:t>
      </w:r>
      <w:r w:rsidRPr="000B534F">
        <w:rPr>
          <w:b/>
          <w:lang w:val="en-GB"/>
        </w:rPr>
        <w:t xml:space="preserve">15-24 </w:t>
      </w:r>
      <w:r w:rsidRPr="000B534F">
        <w:rPr>
          <w:lang w:val="en-GB"/>
        </w:rPr>
        <w:t>years</w:t>
      </w:r>
      <w:r w:rsidRPr="0003184D">
        <w:rPr>
          <w:lang w:val="en-GB"/>
        </w:rPr>
        <w:t xml:space="preserve"> old is concerned, it was 16.3% in 2011 from 20.3% in 2010 (4pps decline in 2011 vs. 2010). Youth employment rate is indeed low in Greece, especially for young women (12.9% for women in 2011 vs. 19.6% for men in 2011)</w:t>
      </w:r>
      <w:r w:rsidR="00B336CC">
        <w:rPr>
          <w:lang w:val="en-GB"/>
        </w:rPr>
        <w:t xml:space="preserve"> (see Annex 1 – Table 2C).</w:t>
      </w:r>
      <w:r w:rsidRPr="0003184D">
        <w:rPr>
          <w:lang w:val="en-GB"/>
        </w:rPr>
        <w:t xml:space="preserve"> </w:t>
      </w:r>
    </w:p>
    <w:p w:rsidR="00822681" w:rsidRDefault="00822681">
      <w:pPr>
        <w:ind w:right="26"/>
        <w:jc w:val="both"/>
        <w:rPr>
          <w:b/>
          <w:lang w:val="en-GB"/>
        </w:rPr>
      </w:pPr>
    </w:p>
    <w:p w:rsidR="00822681" w:rsidRDefault="00822681" w:rsidP="00555E51">
      <w:pPr>
        <w:ind w:right="26"/>
        <w:jc w:val="both"/>
        <w:rPr>
          <w:b/>
          <w:lang w:val="en-GB"/>
        </w:rPr>
      </w:pPr>
      <w:r>
        <w:rPr>
          <w:b/>
          <w:lang w:val="en-GB"/>
        </w:rPr>
        <w:t>Older people</w:t>
      </w:r>
    </w:p>
    <w:p w:rsidR="00294073" w:rsidRPr="00095D1F" w:rsidRDefault="00294073" w:rsidP="00C03113">
      <w:pPr>
        <w:numPr>
          <w:ilvl w:val="0"/>
          <w:numId w:val="43"/>
        </w:numPr>
        <w:autoSpaceDE w:val="0"/>
        <w:autoSpaceDN w:val="0"/>
        <w:adjustRightInd w:val="0"/>
        <w:ind w:right="26"/>
        <w:jc w:val="both"/>
        <w:rPr>
          <w:lang w:val="en-GB"/>
        </w:rPr>
      </w:pPr>
      <w:r w:rsidRPr="00095D1F">
        <w:rPr>
          <w:lang w:val="en-GB"/>
        </w:rPr>
        <w:t>The recession in the Greek economy had also an impact in the employment rate of people in the 55-64 age group</w:t>
      </w:r>
      <w:r>
        <w:rPr>
          <w:lang w:val="en-GB"/>
        </w:rPr>
        <w:t xml:space="preserve"> in 2011</w:t>
      </w:r>
      <w:r w:rsidRPr="00095D1F">
        <w:rPr>
          <w:lang w:val="en-GB"/>
        </w:rPr>
        <w:t xml:space="preserve">. More precisely, the </w:t>
      </w:r>
      <w:r w:rsidRPr="00095D1F">
        <w:rPr>
          <w:b/>
          <w:lang w:val="en-GB"/>
        </w:rPr>
        <w:t>employment rate</w:t>
      </w:r>
      <w:r w:rsidRPr="00095D1F">
        <w:rPr>
          <w:lang w:val="en-GB"/>
        </w:rPr>
        <w:t xml:space="preserve"> of people in the </w:t>
      </w:r>
      <w:r w:rsidRPr="00095D1F">
        <w:rPr>
          <w:b/>
          <w:lang w:val="en-GB"/>
        </w:rPr>
        <w:t>55-64</w:t>
      </w:r>
      <w:r w:rsidRPr="00095D1F">
        <w:rPr>
          <w:lang w:val="en-GB"/>
        </w:rPr>
        <w:t xml:space="preserve"> age group declined to 39.4% in 2011 from 42.3% in 2010.  The employment rate of women in the 55-64 age bracket settled at 27.3% in 2011 from 28.9% in 2010. We note that the employment rate of women in the 55-64 age bracket had exhibited an up</w:t>
      </w:r>
      <w:r>
        <w:rPr>
          <w:lang w:val="en-GB"/>
        </w:rPr>
        <w:t xml:space="preserve">ward </w:t>
      </w:r>
      <w:r w:rsidRPr="00095D1F">
        <w:rPr>
          <w:lang w:val="en-GB"/>
        </w:rPr>
        <w:t xml:space="preserve">trend in the </w:t>
      </w:r>
      <w:r>
        <w:rPr>
          <w:lang w:val="en-GB"/>
        </w:rPr>
        <w:t>2004-2010 period</w:t>
      </w:r>
      <w:r w:rsidRPr="00095D1F">
        <w:rPr>
          <w:lang w:val="en-GB"/>
        </w:rPr>
        <w:t xml:space="preserve"> (see </w:t>
      </w:r>
      <w:r w:rsidR="00602BCC">
        <w:rPr>
          <w:lang w:val="en-GB"/>
        </w:rPr>
        <w:t>Statistical Annex for Article 6</w:t>
      </w:r>
      <w:r w:rsidR="00B336CC">
        <w:rPr>
          <w:lang w:val="en-GB"/>
        </w:rPr>
        <w:t xml:space="preserve"> – </w:t>
      </w:r>
      <w:r w:rsidR="00C76440">
        <w:rPr>
          <w:lang w:val="en-GB"/>
        </w:rPr>
        <w:t xml:space="preserve">Annex 1, </w:t>
      </w:r>
      <w:r w:rsidR="00B336CC">
        <w:rPr>
          <w:lang w:val="en-GB"/>
        </w:rPr>
        <w:t>Table 2D)</w:t>
      </w:r>
      <w:r w:rsidRPr="00095D1F">
        <w:rPr>
          <w:lang w:val="en-GB"/>
        </w:rPr>
        <w:t xml:space="preserve">. </w:t>
      </w:r>
    </w:p>
    <w:p w:rsidR="00822681" w:rsidRDefault="00822681">
      <w:pPr>
        <w:autoSpaceDE w:val="0"/>
        <w:autoSpaceDN w:val="0"/>
        <w:adjustRightInd w:val="0"/>
        <w:ind w:right="26"/>
        <w:jc w:val="both"/>
        <w:rPr>
          <w:b/>
          <w:lang w:val="en-GB"/>
        </w:rPr>
      </w:pPr>
    </w:p>
    <w:p w:rsidR="00822681" w:rsidRDefault="00822681" w:rsidP="00555E51">
      <w:pPr>
        <w:ind w:right="26"/>
        <w:jc w:val="both"/>
        <w:rPr>
          <w:b/>
          <w:lang w:val="en-GB"/>
        </w:rPr>
      </w:pPr>
      <w:r>
        <w:rPr>
          <w:b/>
          <w:lang w:val="en-GB"/>
        </w:rPr>
        <w:t>Types of Employment in Greece</w:t>
      </w:r>
    </w:p>
    <w:p w:rsidR="00294073" w:rsidRPr="00294073" w:rsidRDefault="00294073" w:rsidP="00C03113">
      <w:pPr>
        <w:numPr>
          <w:ilvl w:val="0"/>
          <w:numId w:val="43"/>
        </w:numPr>
        <w:autoSpaceDE w:val="0"/>
        <w:autoSpaceDN w:val="0"/>
        <w:adjustRightInd w:val="0"/>
        <w:spacing w:after="60"/>
        <w:ind w:right="29"/>
        <w:jc w:val="both"/>
        <w:rPr>
          <w:lang w:val="en-GB"/>
        </w:rPr>
      </w:pPr>
      <w:r w:rsidRPr="007D4786">
        <w:rPr>
          <w:lang w:val="en-GB"/>
        </w:rPr>
        <w:t xml:space="preserve">The predominant type of employment in the country is </w:t>
      </w:r>
      <w:r>
        <w:rPr>
          <w:lang w:val="en-GB"/>
        </w:rPr>
        <w:t xml:space="preserve">still </w:t>
      </w:r>
      <w:r w:rsidRPr="007D4786">
        <w:rPr>
          <w:lang w:val="en-GB"/>
        </w:rPr>
        <w:t>the traditiona</w:t>
      </w:r>
      <w:r w:rsidR="00602BCC">
        <w:rPr>
          <w:lang w:val="en-GB"/>
        </w:rPr>
        <w:t xml:space="preserve">l model of full-time employment. </w:t>
      </w:r>
      <w:r w:rsidRPr="00294073">
        <w:rPr>
          <w:lang w:val="en-GB"/>
        </w:rPr>
        <w:t xml:space="preserve">The </w:t>
      </w:r>
      <w:r w:rsidRPr="00294073">
        <w:rPr>
          <w:b/>
          <w:lang w:val="en-GB"/>
        </w:rPr>
        <w:t>share of part time employment</w:t>
      </w:r>
      <w:r w:rsidRPr="00294073">
        <w:rPr>
          <w:lang w:val="en-GB"/>
        </w:rPr>
        <w:t xml:space="preserve"> is lower in Greece as compared to the EE-27 average, however, a slight increase to 6.8% was evident in 2011 from 6.4% in 2010 and 5.6% in 2008</w:t>
      </w:r>
      <w:r w:rsidR="00B4782D">
        <w:rPr>
          <w:lang w:val="en-GB"/>
        </w:rPr>
        <w:t xml:space="preserve">. </w:t>
      </w:r>
      <w:r w:rsidRPr="00294073">
        <w:rPr>
          <w:iCs/>
          <w:lang w:val="en-GB"/>
        </w:rPr>
        <w:t>However, in Greece the percentage of part timers who choose to work part time because they cannot find a full time job (56.5% in 2011) far exceeds EE-27 average (25.5% in 2010)</w:t>
      </w:r>
      <w:r w:rsidR="00C73BAC">
        <w:rPr>
          <w:iCs/>
          <w:lang w:val="en-GB"/>
        </w:rPr>
        <w:t xml:space="preserve"> [see </w:t>
      </w:r>
      <w:r w:rsidR="00602BCC">
        <w:rPr>
          <w:lang w:val="en-GB"/>
        </w:rPr>
        <w:t>Statistical Annex for Article 6</w:t>
      </w:r>
      <w:r w:rsidR="00C73BAC">
        <w:rPr>
          <w:iCs/>
          <w:lang w:val="en-GB"/>
        </w:rPr>
        <w:t xml:space="preserve"> – </w:t>
      </w:r>
      <w:r w:rsidR="00C76440">
        <w:rPr>
          <w:iCs/>
          <w:lang w:val="en-GB"/>
        </w:rPr>
        <w:t xml:space="preserve">Annex 1, </w:t>
      </w:r>
      <w:r w:rsidR="00C73BAC">
        <w:rPr>
          <w:iCs/>
          <w:lang w:val="en-GB"/>
        </w:rPr>
        <w:t>Table 2E]. Also, p</w:t>
      </w:r>
      <w:r w:rsidRPr="00294073">
        <w:rPr>
          <w:iCs/>
          <w:lang w:val="en-GB"/>
        </w:rPr>
        <w:t>art</w:t>
      </w:r>
      <w:r w:rsidRPr="00294073">
        <w:rPr>
          <w:lang w:val="en-GB"/>
        </w:rPr>
        <w:t>-</w:t>
      </w:r>
      <w:r w:rsidRPr="00294073">
        <w:rPr>
          <w:iCs/>
          <w:lang w:val="en-GB"/>
        </w:rPr>
        <w:t>time employment is more widespread among women</w:t>
      </w:r>
      <w:r w:rsidRPr="00294073">
        <w:rPr>
          <w:lang w:val="en-GB"/>
        </w:rPr>
        <w:t xml:space="preserve"> than men</w:t>
      </w:r>
      <w:r w:rsidR="00C73BAC">
        <w:rPr>
          <w:lang w:val="en-GB"/>
        </w:rPr>
        <w:t xml:space="preserve"> (see respective table in </w:t>
      </w:r>
      <w:r w:rsidR="00602BCC">
        <w:rPr>
          <w:lang w:val="en-GB"/>
        </w:rPr>
        <w:t xml:space="preserve">Annex </w:t>
      </w:r>
      <w:r w:rsidR="00C76440">
        <w:rPr>
          <w:lang w:val="en-GB"/>
        </w:rPr>
        <w:t>1</w:t>
      </w:r>
      <w:r w:rsidR="00C73BAC">
        <w:rPr>
          <w:lang w:val="en-GB"/>
        </w:rPr>
        <w:t xml:space="preserve">). </w:t>
      </w:r>
    </w:p>
    <w:p w:rsidR="00294073" w:rsidRPr="00EE68B4" w:rsidRDefault="00294073" w:rsidP="00C03113">
      <w:pPr>
        <w:numPr>
          <w:ilvl w:val="0"/>
          <w:numId w:val="43"/>
        </w:numPr>
        <w:autoSpaceDE w:val="0"/>
        <w:autoSpaceDN w:val="0"/>
        <w:adjustRightInd w:val="0"/>
        <w:ind w:right="26"/>
        <w:jc w:val="both"/>
        <w:rPr>
          <w:bCs/>
          <w:lang w:val="en-GB"/>
        </w:rPr>
      </w:pPr>
      <w:r w:rsidRPr="00EE68B4">
        <w:rPr>
          <w:bCs/>
          <w:lang w:val="en-GB"/>
        </w:rPr>
        <w:t xml:space="preserve">The </w:t>
      </w:r>
      <w:r w:rsidRPr="007B295E">
        <w:rPr>
          <w:b/>
          <w:bCs/>
          <w:lang w:val="en-GB"/>
        </w:rPr>
        <w:t>percentage of</w:t>
      </w:r>
      <w:r w:rsidRPr="00EE68B4">
        <w:rPr>
          <w:bCs/>
          <w:lang w:val="en-GB"/>
        </w:rPr>
        <w:t xml:space="preserve"> </w:t>
      </w:r>
      <w:r w:rsidRPr="00EE68B4">
        <w:rPr>
          <w:b/>
          <w:bCs/>
          <w:lang w:val="en-GB"/>
        </w:rPr>
        <w:t>temporary employees</w:t>
      </w:r>
      <w:r w:rsidRPr="00EE68B4">
        <w:rPr>
          <w:bCs/>
          <w:lang w:val="en-GB"/>
        </w:rPr>
        <w:t xml:space="preserve"> in Greece in 2011 was 11.6%, lower than the 2010-level of 12.4%. The percentage of temporary employed women was higher than that of men, at 12.9% in 2</w:t>
      </w:r>
      <w:r w:rsidR="00C73BAC">
        <w:rPr>
          <w:bCs/>
          <w:lang w:val="en-GB"/>
        </w:rPr>
        <w:t xml:space="preserve">011, while for men it was 10.5% (see </w:t>
      </w:r>
      <w:r w:rsidR="00602BCC">
        <w:rPr>
          <w:lang w:val="en-GB"/>
        </w:rPr>
        <w:t>Statistical Annex for Article 6</w:t>
      </w:r>
      <w:r w:rsidR="00C73BAC">
        <w:rPr>
          <w:bCs/>
          <w:lang w:val="en-GB"/>
        </w:rPr>
        <w:t xml:space="preserve"> </w:t>
      </w:r>
      <w:r w:rsidR="00C76440">
        <w:rPr>
          <w:bCs/>
          <w:lang w:val="en-GB"/>
        </w:rPr>
        <w:t>–</w:t>
      </w:r>
      <w:r w:rsidR="00C73BAC">
        <w:rPr>
          <w:bCs/>
          <w:lang w:val="en-GB"/>
        </w:rPr>
        <w:t xml:space="preserve"> </w:t>
      </w:r>
      <w:r w:rsidR="00C76440">
        <w:rPr>
          <w:bCs/>
          <w:lang w:val="en-GB"/>
        </w:rPr>
        <w:t xml:space="preserve">Annex 1, </w:t>
      </w:r>
      <w:r w:rsidR="00C73BAC">
        <w:rPr>
          <w:bCs/>
          <w:lang w:val="en-GB"/>
        </w:rPr>
        <w:t>Table 2F).</w:t>
      </w:r>
    </w:p>
    <w:p w:rsidR="00294073" w:rsidRPr="00983FC6" w:rsidRDefault="00294073" w:rsidP="00C03113">
      <w:pPr>
        <w:numPr>
          <w:ilvl w:val="0"/>
          <w:numId w:val="43"/>
        </w:numPr>
        <w:ind w:right="26"/>
        <w:jc w:val="both"/>
        <w:rPr>
          <w:lang w:val="en-GB"/>
        </w:rPr>
      </w:pPr>
      <w:r w:rsidRPr="00983FC6">
        <w:rPr>
          <w:b/>
          <w:lang w:val="en-GB"/>
        </w:rPr>
        <w:t xml:space="preserve">Self-employment in Greece: </w:t>
      </w:r>
      <w:r w:rsidRPr="00983FC6">
        <w:rPr>
          <w:lang w:val="en-GB"/>
        </w:rPr>
        <w:t xml:space="preserve">We should </w:t>
      </w:r>
      <w:r>
        <w:rPr>
          <w:lang w:val="en-GB"/>
        </w:rPr>
        <w:t>highlight</w:t>
      </w:r>
      <w:r w:rsidRPr="00983FC6">
        <w:rPr>
          <w:lang w:val="en-GB"/>
        </w:rPr>
        <w:t xml:space="preserve"> the high percentage of self-employment in Greece. The ratio of those employed for their own account (self-employed persons without having any personnel) to the total number of employed </w:t>
      </w:r>
      <w:r w:rsidRPr="00983FC6">
        <w:rPr>
          <w:lang w:val="en-GB"/>
        </w:rPr>
        <w:lastRenderedPageBreak/>
        <w:t xml:space="preserve">persons in 2011 was 23.3% against 22.3% in 2010 and the ratio of employers to the total number of employed persons was 7.8% in 2011 against 8% in 2010. The percentage of salaried employees is estimated at 63.5% in 2011, a </w:t>
      </w:r>
      <w:r>
        <w:rPr>
          <w:lang w:val="en-GB"/>
        </w:rPr>
        <w:t>slightly</w:t>
      </w:r>
      <w:r w:rsidRPr="00983FC6">
        <w:rPr>
          <w:lang w:val="en-GB"/>
        </w:rPr>
        <w:t xml:space="preserve"> lower than the 2010-level of 64%, </w:t>
      </w:r>
      <w:r>
        <w:rPr>
          <w:lang w:val="en-GB"/>
        </w:rPr>
        <w:t xml:space="preserve">but significantly </w:t>
      </w:r>
      <w:r w:rsidRPr="00983FC6">
        <w:rPr>
          <w:lang w:val="en-GB"/>
        </w:rPr>
        <w:t>lower than the mean percentage of employee</w:t>
      </w:r>
      <w:r w:rsidR="00C73BAC">
        <w:rPr>
          <w:lang w:val="en-GB"/>
        </w:rPr>
        <w:t>s in the European Union (~80%)</w:t>
      </w:r>
      <w:r w:rsidR="00602BCC">
        <w:rPr>
          <w:lang w:val="en-GB"/>
        </w:rPr>
        <w:t xml:space="preserve"> [s</w:t>
      </w:r>
      <w:r w:rsidR="00C73BAC">
        <w:rPr>
          <w:lang w:val="en-GB"/>
        </w:rPr>
        <w:t xml:space="preserve">ee </w:t>
      </w:r>
      <w:r w:rsidR="00602BCC">
        <w:rPr>
          <w:lang w:val="en-GB"/>
        </w:rPr>
        <w:t>Statistical Annex for Article 6</w:t>
      </w:r>
      <w:r w:rsidR="00C73BAC">
        <w:rPr>
          <w:lang w:val="en-GB"/>
        </w:rPr>
        <w:t xml:space="preserve"> – </w:t>
      </w:r>
      <w:r w:rsidR="00C76440">
        <w:rPr>
          <w:lang w:val="en-GB"/>
        </w:rPr>
        <w:t xml:space="preserve">Annex 1, </w:t>
      </w:r>
      <w:r w:rsidR="00C73BAC">
        <w:rPr>
          <w:lang w:val="en-GB"/>
        </w:rPr>
        <w:t>table 2G].</w:t>
      </w:r>
    </w:p>
    <w:p w:rsidR="00294073" w:rsidRPr="00837998" w:rsidRDefault="00294073" w:rsidP="00294073">
      <w:pPr>
        <w:autoSpaceDE w:val="0"/>
        <w:autoSpaceDN w:val="0"/>
        <w:adjustRightInd w:val="0"/>
        <w:ind w:right="26"/>
        <w:jc w:val="both"/>
        <w:rPr>
          <w:b/>
          <w:highlight w:val="cyan"/>
          <w:lang w:val="en-GB"/>
        </w:rPr>
      </w:pPr>
    </w:p>
    <w:p w:rsidR="00294073" w:rsidRPr="00AC2745" w:rsidRDefault="00294073" w:rsidP="00C03113">
      <w:pPr>
        <w:numPr>
          <w:ilvl w:val="0"/>
          <w:numId w:val="43"/>
        </w:numPr>
        <w:ind w:right="26"/>
        <w:jc w:val="both"/>
        <w:rPr>
          <w:lang w:val="en-GB"/>
        </w:rPr>
      </w:pPr>
      <w:r w:rsidRPr="00AC2745">
        <w:rPr>
          <w:b/>
          <w:lang w:val="en-GB"/>
        </w:rPr>
        <w:t xml:space="preserve">Employment by sector: </w:t>
      </w:r>
      <w:r w:rsidRPr="00AC2745">
        <w:rPr>
          <w:lang w:val="en-GB"/>
        </w:rPr>
        <w:t xml:space="preserve">according to </w:t>
      </w:r>
      <w:r w:rsidR="00C73BAC">
        <w:rPr>
          <w:lang w:val="en-GB"/>
        </w:rPr>
        <w:t xml:space="preserve">the </w:t>
      </w:r>
      <w:r w:rsidRPr="00AC2745">
        <w:rPr>
          <w:lang w:val="en-GB"/>
        </w:rPr>
        <w:t>EL.STAT.</w:t>
      </w:r>
      <w:r>
        <w:rPr>
          <w:lang w:val="en-GB"/>
        </w:rPr>
        <w:t xml:space="preserve"> - </w:t>
      </w:r>
      <w:r w:rsidRPr="00AC2745">
        <w:rPr>
          <w:lang w:val="en-GB"/>
        </w:rPr>
        <w:t xml:space="preserve">data on employment by economic sector (see </w:t>
      </w:r>
      <w:r w:rsidR="00C73BAC">
        <w:rPr>
          <w:lang w:val="en-GB"/>
        </w:rPr>
        <w:t xml:space="preserve">Annex 1 - </w:t>
      </w:r>
      <w:r w:rsidRPr="00AC2745">
        <w:rPr>
          <w:lang w:val="en-GB"/>
        </w:rPr>
        <w:t xml:space="preserve">table </w:t>
      </w:r>
      <w:r w:rsidR="00C73BAC">
        <w:rPr>
          <w:lang w:val="en-GB"/>
        </w:rPr>
        <w:t>2H</w:t>
      </w:r>
      <w:r w:rsidRPr="00AC2745">
        <w:rPr>
          <w:lang w:val="en-GB"/>
        </w:rPr>
        <w:t xml:space="preserve">), </w:t>
      </w:r>
      <w:r w:rsidRPr="00AC2745">
        <w:rPr>
          <w:u w:val="single"/>
          <w:lang w:val="en-GB"/>
        </w:rPr>
        <w:t>the tertiary sector</w:t>
      </w:r>
      <w:r w:rsidRPr="00AC2745">
        <w:rPr>
          <w:lang w:val="en-GB"/>
        </w:rPr>
        <w:t xml:space="preserve"> has the biggest share of employment (69.8% in 2011) in comparison to the primary and secondary sectors (12.4% and 17.8%, respectively in 2011). </w:t>
      </w:r>
      <w:r>
        <w:rPr>
          <w:lang w:val="en-GB"/>
        </w:rPr>
        <w:t xml:space="preserve">It is worth mentioning that employment in the secondary sector has posted a significant decline in the 2008-2011 period, amid weak economic activity (note the construction and manufacturing sectors were among the sectors mostly hit by the crisis, see </w:t>
      </w:r>
      <w:r w:rsidR="00252825">
        <w:rPr>
          <w:lang w:val="en-GB"/>
        </w:rPr>
        <w:t>Statistical Annex for Article 6</w:t>
      </w:r>
      <w:r w:rsidR="00C73BAC">
        <w:rPr>
          <w:lang w:val="en-GB"/>
        </w:rPr>
        <w:t xml:space="preserve"> – </w:t>
      </w:r>
      <w:r w:rsidR="00C76440">
        <w:rPr>
          <w:lang w:val="en-GB"/>
        </w:rPr>
        <w:t xml:space="preserve">Annex 1, </w:t>
      </w:r>
      <w:r w:rsidR="00C73BAC">
        <w:rPr>
          <w:lang w:val="en-GB"/>
        </w:rPr>
        <w:t>table 2I &amp; 2I, part II</w:t>
      </w:r>
      <w:r>
        <w:rPr>
          <w:lang w:val="en-GB"/>
        </w:rPr>
        <w:t xml:space="preserve">).  </w:t>
      </w:r>
    </w:p>
    <w:p w:rsidR="00294073" w:rsidRDefault="00294073">
      <w:pPr>
        <w:autoSpaceDE w:val="0"/>
        <w:autoSpaceDN w:val="0"/>
        <w:adjustRightInd w:val="0"/>
        <w:ind w:right="26"/>
        <w:jc w:val="both"/>
        <w:rPr>
          <w:b/>
          <w:bCs/>
          <w:i/>
          <w:iCs/>
          <w:highlight w:val="cyan"/>
          <w:lang w:val="en-GB"/>
        </w:rPr>
      </w:pPr>
    </w:p>
    <w:p w:rsidR="00822681" w:rsidRDefault="00822681" w:rsidP="00555E51">
      <w:pPr>
        <w:autoSpaceDE w:val="0"/>
        <w:autoSpaceDN w:val="0"/>
        <w:adjustRightInd w:val="0"/>
        <w:ind w:right="26"/>
        <w:jc w:val="both"/>
        <w:rPr>
          <w:b/>
          <w:i/>
          <w:lang w:val="en-GB"/>
        </w:rPr>
      </w:pPr>
      <w:r>
        <w:rPr>
          <w:b/>
          <w:i/>
          <w:lang w:val="en-GB"/>
        </w:rPr>
        <w:t xml:space="preserve">Unemployment </w:t>
      </w:r>
    </w:p>
    <w:p w:rsidR="00D61218" w:rsidRPr="00A90C7B" w:rsidRDefault="00D61218" w:rsidP="00C03113">
      <w:pPr>
        <w:numPr>
          <w:ilvl w:val="0"/>
          <w:numId w:val="43"/>
        </w:numPr>
        <w:autoSpaceDE w:val="0"/>
        <w:autoSpaceDN w:val="0"/>
        <w:adjustRightInd w:val="0"/>
        <w:jc w:val="both"/>
        <w:rPr>
          <w:lang w:val="en-GB"/>
        </w:rPr>
      </w:pPr>
      <w:r w:rsidRPr="00A90C7B">
        <w:rPr>
          <w:lang w:val="en-GB"/>
        </w:rPr>
        <w:t xml:space="preserve">According to data provided by the Hellenic Statistical Authority (Labour Force Survey), the </w:t>
      </w:r>
      <w:r w:rsidRPr="00A90C7B">
        <w:rPr>
          <w:b/>
          <w:lang w:val="en-GB"/>
        </w:rPr>
        <w:t>unemployed persons</w:t>
      </w:r>
      <w:r w:rsidRPr="00A90C7B">
        <w:rPr>
          <w:lang w:val="en-GB"/>
        </w:rPr>
        <w:t xml:space="preserve"> (year’s average) were 876,900 in 2011, higher than the 2010-level of 628,700. The number of unemployed people </w:t>
      </w:r>
      <w:r w:rsidRPr="00882D44">
        <w:rPr>
          <w:u w:val="dash"/>
          <w:lang w:val="en-GB"/>
        </w:rPr>
        <w:t>exceeded the 1million level</w:t>
      </w:r>
      <w:r w:rsidRPr="00A90C7B">
        <w:rPr>
          <w:lang w:val="en-GB"/>
        </w:rPr>
        <w:t xml:space="preserve"> in the </w:t>
      </w:r>
      <w:r w:rsidRPr="00882D44">
        <w:rPr>
          <w:u w:val="dash"/>
          <w:lang w:val="en-GB"/>
        </w:rPr>
        <w:t xml:space="preserve">4th quarter of 2011 </w:t>
      </w:r>
      <w:r w:rsidRPr="00A90C7B">
        <w:rPr>
          <w:lang w:val="en-GB"/>
        </w:rPr>
        <w:t>(1.03million) for the first time since EL.STAT Labour Force Survey data were made available on a quarterly basis (1998).</w:t>
      </w:r>
      <w:r>
        <w:rPr>
          <w:lang w:val="en-GB"/>
        </w:rPr>
        <w:t xml:space="preserve"> The number of unemployed people (15-74 years old) reached 1,056.5 thousands</w:t>
      </w:r>
      <w:r w:rsidRPr="008B17F0">
        <w:rPr>
          <w:lang w:val="en-GB"/>
        </w:rPr>
        <w:t xml:space="preserve"> </w:t>
      </w:r>
      <w:r>
        <w:rPr>
          <w:lang w:val="en-GB"/>
        </w:rPr>
        <w:t>in January 2012 and 1,070.7 thousands in February 2012</w:t>
      </w:r>
      <w:r w:rsidR="00C73BAC">
        <w:rPr>
          <w:lang w:val="en-GB"/>
        </w:rPr>
        <w:t xml:space="preserve"> – seasonally adjusted figures (see </w:t>
      </w:r>
      <w:r w:rsidR="00252825">
        <w:rPr>
          <w:lang w:val="en-GB"/>
        </w:rPr>
        <w:t>Statistical Annex for Article 6</w:t>
      </w:r>
      <w:r w:rsidR="00C73BAC">
        <w:rPr>
          <w:lang w:val="en-GB"/>
        </w:rPr>
        <w:t xml:space="preserve"> – </w:t>
      </w:r>
      <w:r w:rsidR="00C76440">
        <w:rPr>
          <w:lang w:val="en-GB"/>
        </w:rPr>
        <w:t xml:space="preserve">Annex 1, </w:t>
      </w:r>
      <w:r w:rsidR="00C73BAC">
        <w:rPr>
          <w:lang w:val="en-GB"/>
        </w:rPr>
        <w:t xml:space="preserve">table 3A). </w:t>
      </w:r>
    </w:p>
    <w:p w:rsidR="00D61218" w:rsidRDefault="00D61218" w:rsidP="00D61218">
      <w:pPr>
        <w:ind w:right="26"/>
        <w:jc w:val="both"/>
        <w:rPr>
          <w:lang w:val="en-GB"/>
        </w:rPr>
      </w:pPr>
    </w:p>
    <w:p w:rsidR="00D61218" w:rsidRPr="004D6F7C" w:rsidRDefault="00D61218" w:rsidP="00C03113">
      <w:pPr>
        <w:numPr>
          <w:ilvl w:val="0"/>
          <w:numId w:val="43"/>
        </w:numPr>
        <w:ind w:right="26"/>
        <w:jc w:val="both"/>
        <w:rPr>
          <w:highlight w:val="cyan"/>
          <w:lang w:val="en-GB"/>
        </w:rPr>
      </w:pPr>
      <w:r w:rsidRPr="00E45D1E">
        <w:rPr>
          <w:lang w:val="en-GB"/>
        </w:rPr>
        <w:t xml:space="preserve">The total </w:t>
      </w:r>
      <w:r w:rsidRPr="00E45D1E">
        <w:rPr>
          <w:b/>
          <w:lang w:val="en-GB"/>
        </w:rPr>
        <w:t>unemployment rate</w:t>
      </w:r>
      <w:r w:rsidRPr="00E45D1E">
        <w:rPr>
          <w:lang w:val="en-GB"/>
        </w:rPr>
        <w:t xml:space="preserve"> in Greece rose to 17.7% in 2011 from 12.5% in</w:t>
      </w:r>
      <w:r w:rsidRPr="00A5352E">
        <w:rPr>
          <w:lang w:val="en-GB"/>
        </w:rPr>
        <w:t xml:space="preserve"> 2010, 9.5% in 2009 and 7.6% in 2008. </w:t>
      </w:r>
      <w:r>
        <w:rPr>
          <w:lang w:val="en-GB"/>
        </w:rPr>
        <w:t xml:space="preserve">The total unemployment rate </w:t>
      </w:r>
      <w:r w:rsidRPr="00D61218">
        <w:rPr>
          <w:rFonts w:ascii="TimesNewRoman" w:hAnsi="TimesNewRoman" w:cs="TimesNewRoman"/>
          <w:lang w:val="en-GB"/>
        </w:rPr>
        <w:t>surpassed the 20%-level (for the first time since 1998 when data are available on a quarterly basis) in the 4</w:t>
      </w:r>
      <w:r w:rsidRPr="00D61218">
        <w:rPr>
          <w:rFonts w:ascii="TimesNewRoman" w:hAnsi="TimesNewRoman" w:cs="TimesNewRoman"/>
          <w:sz w:val="16"/>
          <w:szCs w:val="16"/>
          <w:lang w:val="en-GB"/>
        </w:rPr>
        <w:t xml:space="preserve">th </w:t>
      </w:r>
      <w:r w:rsidRPr="00D61218">
        <w:rPr>
          <w:rFonts w:ascii="TimesNewRoman" w:hAnsi="TimesNewRoman" w:cs="TimesNewRoman"/>
          <w:lang w:val="en-GB"/>
        </w:rPr>
        <w:t>quarter of 2011 (20.7%). However, the unemployment rate remained at high levels in the first two months of 2012 [January 2012: 21.3%, February 2012: 21.7% - seasonally adjusted figures]. Unemployment in Greece is higher among women (21.4% in 2011 against 14.9% for men)</w:t>
      </w:r>
      <w:r w:rsidR="00C73BAC">
        <w:rPr>
          <w:rFonts w:ascii="TimesNewRoman" w:hAnsi="TimesNewRoman" w:cs="TimesNewRoman"/>
          <w:lang w:val="en-GB"/>
        </w:rPr>
        <w:t xml:space="preserve">. </w:t>
      </w:r>
    </w:p>
    <w:p w:rsidR="00B4782D" w:rsidRDefault="00B4782D" w:rsidP="00D61218">
      <w:pPr>
        <w:ind w:right="26"/>
        <w:jc w:val="both"/>
        <w:rPr>
          <w:lang w:val="en-GB"/>
        </w:rPr>
      </w:pPr>
    </w:p>
    <w:p w:rsidR="00D61218" w:rsidRPr="00C143FC" w:rsidRDefault="00D61218" w:rsidP="00C03113">
      <w:pPr>
        <w:numPr>
          <w:ilvl w:val="0"/>
          <w:numId w:val="43"/>
        </w:numPr>
        <w:ind w:right="26"/>
        <w:jc w:val="both"/>
        <w:rPr>
          <w:lang w:val="en-GB"/>
        </w:rPr>
      </w:pPr>
      <w:r w:rsidRPr="00C143FC">
        <w:rPr>
          <w:lang w:val="en-GB"/>
        </w:rPr>
        <w:t xml:space="preserve">The analysis of unemployment </w:t>
      </w:r>
      <w:r w:rsidRPr="009E1760">
        <w:rPr>
          <w:b/>
          <w:u w:val="dash"/>
          <w:lang w:val="en-GB"/>
        </w:rPr>
        <w:t>by age group and gender</w:t>
      </w:r>
      <w:r w:rsidRPr="00C143FC">
        <w:rPr>
          <w:lang w:val="en-GB"/>
        </w:rPr>
        <w:t xml:space="preserve"> confirms once more that in our country unemployment rate is particularly high among young people and especially women</w:t>
      </w:r>
      <w:r w:rsidR="00C73BAC">
        <w:rPr>
          <w:lang w:val="en-GB"/>
        </w:rPr>
        <w:t xml:space="preserve"> </w:t>
      </w:r>
      <w:r w:rsidR="00C73BAC">
        <w:rPr>
          <w:rFonts w:ascii="TimesNewRoman" w:hAnsi="TimesNewRoman" w:cs="TimesNewRoman"/>
          <w:lang w:val="en-GB"/>
        </w:rPr>
        <w:t xml:space="preserve">[see </w:t>
      </w:r>
      <w:r w:rsidR="00252825">
        <w:rPr>
          <w:lang w:val="en-GB"/>
        </w:rPr>
        <w:t>Statistical Annex for Article 6</w:t>
      </w:r>
      <w:r w:rsidR="00C73BAC">
        <w:rPr>
          <w:rFonts w:ascii="TimesNewRoman" w:hAnsi="TimesNewRoman" w:cs="TimesNewRoman"/>
          <w:lang w:val="en-GB"/>
        </w:rPr>
        <w:t xml:space="preserve"> – </w:t>
      </w:r>
      <w:r w:rsidR="00C76440">
        <w:rPr>
          <w:rFonts w:ascii="TimesNewRoman" w:hAnsi="TimesNewRoman" w:cs="TimesNewRoman"/>
          <w:lang w:val="en-GB"/>
        </w:rPr>
        <w:t xml:space="preserve">Annex 1, </w:t>
      </w:r>
      <w:r w:rsidR="00C73BAC">
        <w:rPr>
          <w:rFonts w:ascii="TimesNewRoman" w:hAnsi="TimesNewRoman" w:cs="TimesNewRoman"/>
          <w:lang w:val="en-GB"/>
        </w:rPr>
        <w:t>table 3B]</w:t>
      </w:r>
      <w:r w:rsidRPr="00C143FC">
        <w:rPr>
          <w:lang w:val="en-GB"/>
        </w:rPr>
        <w:t xml:space="preserve">. </w:t>
      </w:r>
    </w:p>
    <w:p w:rsidR="00C73BAC" w:rsidRDefault="00C73BAC" w:rsidP="00D61218">
      <w:pPr>
        <w:ind w:right="26"/>
        <w:jc w:val="both"/>
        <w:rPr>
          <w:lang w:val="en-GB"/>
        </w:rPr>
      </w:pPr>
    </w:p>
    <w:p w:rsidR="00D61218" w:rsidRPr="009E1760" w:rsidRDefault="00D61218" w:rsidP="00C03113">
      <w:pPr>
        <w:numPr>
          <w:ilvl w:val="0"/>
          <w:numId w:val="43"/>
        </w:numPr>
        <w:ind w:right="26"/>
        <w:jc w:val="both"/>
        <w:rPr>
          <w:lang w:val="en-GB"/>
        </w:rPr>
      </w:pPr>
      <w:r w:rsidRPr="009E1760">
        <w:rPr>
          <w:lang w:val="en-GB"/>
        </w:rPr>
        <w:t xml:space="preserve">The unemployment rate for young people (15-24 years old) rose to </w:t>
      </w:r>
      <w:r w:rsidRPr="009E1760">
        <w:rPr>
          <w:u w:val="dash"/>
          <w:lang w:val="en-GB"/>
        </w:rPr>
        <w:t>44.4% in 2011</w:t>
      </w:r>
      <w:r w:rsidRPr="009E1760">
        <w:rPr>
          <w:lang w:val="en-GB"/>
        </w:rPr>
        <w:t xml:space="preserve"> from 32.9% in 2010 and 25.8% in 2009. It is worth mentioning that the unemployment rate of people in the 15-24 age group rose to a high of </w:t>
      </w:r>
      <w:r>
        <w:rPr>
          <w:lang w:val="en-GB"/>
        </w:rPr>
        <w:t>53.8% in February 2012 compared to 40.3% in February 2011. The unemployment rate of young people (15-24) has s</w:t>
      </w:r>
      <w:r w:rsidR="00C73BAC">
        <w:rPr>
          <w:lang w:val="en-GB"/>
        </w:rPr>
        <w:t xml:space="preserve">ettled at 50.8% in January 2012 (see </w:t>
      </w:r>
      <w:r w:rsidR="00252825">
        <w:rPr>
          <w:lang w:val="en-GB"/>
        </w:rPr>
        <w:t>Statistical Annex for Article 6</w:t>
      </w:r>
      <w:r w:rsidR="00C73BAC">
        <w:rPr>
          <w:lang w:val="en-GB"/>
        </w:rPr>
        <w:t xml:space="preserve"> – </w:t>
      </w:r>
      <w:r w:rsidR="00C76440">
        <w:rPr>
          <w:lang w:val="en-GB"/>
        </w:rPr>
        <w:t xml:space="preserve">Annex 1, </w:t>
      </w:r>
      <w:r w:rsidR="00C73BAC">
        <w:rPr>
          <w:lang w:val="en-GB"/>
        </w:rPr>
        <w:t xml:space="preserve">table 3C). </w:t>
      </w:r>
    </w:p>
    <w:p w:rsidR="00D61218" w:rsidRPr="004D6F7C" w:rsidRDefault="00D61218" w:rsidP="00D61218">
      <w:pPr>
        <w:ind w:right="26"/>
        <w:jc w:val="both"/>
        <w:rPr>
          <w:highlight w:val="cyan"/>
          <w:lang w:val="en-GB"/>
        </w:rPr>
      </w:pPr>
    </w:p>
    <w:p w:rsidR="00D61218" w:rsidRPr="008537D2" w:rsidRDefault="00D61218" w:rsidP="00C03113">
      <w:pPr>
        <w:numPr>
          <w:ilvl w:val="0"/>
          <w:numId w:val="43"/>
        </w:numPr>
        <w:ind w:right="26"/>
        <w:jc w:val="both"/>
        <w:rPr>
          <w:lang w:val="en-GB"/>
        </w:rPr>
      </w:pPr>
      <w:r w:rsidRPr="008537D2">
        <w:rPr>
          <w:lang w:val="en-GB"/>
        </w:rPr>
        <w:t>The percentage of the “</w:t>
      </w:r>
      <w:r w:rsidRPr="008537D2">
        <w:rPr>
          <w:b/>
          <w:lang w:val="en-GB"/>
        </w:rPr>
        <w:t>new” unemployed</w:t>
      </w:r>
      <w:r w:rsidRPr="008537D2">
        <w:rPr>
          <w:lang w:val="en-GB"/>
        </w:rPr>
        <w:t xml:space="preserve">, that is the percentage of persons who entered for the first time into the labour market, marginally increased in 2011 to 24%, while this figure is lower than the 2008 and 2009 levels (see </w:t>
      </w:r>
      <w:r w:rsidR="00252825">
        <w:rPr>
          <w:lang w:val="en-GB"/>
        </w:rPr>
        <w:t xml:space="preserve">Statistical Annex for Article 6 </w:t>
      </w:r>
      <w:r w:rsidR="00C76440">
        <w:rPr>
          <w:lang w:val="en-GB"/>
        </w:rPr>
        <w:t>–</w:t>
      </w:r>
      <w:r w:rsidR="00252825">
        <w:rPr>
          <w:lang w:val="en-GB"/>
        </w:rPr>
        <w:t xml:space="preserve"> </w:t>
      </w:r>
      <w:r w:rsidR="00C76440">
        <w:rPr>
          <w:lang w:val="en-GB"/>
        </w:rPr>
        <w:t xml:space="preserve">Annex 1, </w:t>
      </w:r>
      <w:r w:rsidRPr="008537D2">
        <w:rPr>
          <w:lang w:val="en-GB"/>
        </w:rPr>
        <w:t>Table 3D).</w:t>
      </w:r>
    </w:p>
    <w:p w:rsidR="00D61218" w:rsidRPr="008537D2" w:rsidRDefault="00D61218" w:rsidP="00C03113">
      <w:pPr>
        <w:numPr>
          <w:ilvl w:val="0"/>
          <w:numId w:val="43"/>
        </w:numPr>
        <w:ind w:right="26"/>
        <w:jc w:val="both"/>
        <w:rPr>
          <w:lang w:val="en-GB"/>
        </w:rPr>
      </w:pPr>
      <w:r w:rsidRPr="008537D2">
        <w:rPr>
          <w:lang w:val="en-GB"/>
        </w:rPr>
        <w:lastRenderedPageBreak/>
        <w:t xml:space="preserve">However, note that the </w:t>
      </w:r>
      <w:r w:rsidRPr="00612AF6">
        <w:rPr>
          <w:b/>
          <w:lang w:val="en-GB"/>
        </w:rPr>
        <w:t>percentage of ‘long term’ unemployed</w:t>
      </w:r>
      <w:r w:rsidRPr="008537D2">
        <w:rPr>
          <w:lang w:val="en-GB"/>
        </w:rPr>
        <w:t>, that is the percentage of persons that have been looking for a job for more than 1 year (irrespectively of being ‘new’ or ‘old’ unemployed) settled at 51.6% in 2011 from 47.1% in 2010. The increase in long term unemploy</w:t>
      </w:r>
      <w:r w:rsidR="00C73BAC">
        <w:rPr>
          <w:lang w:val="en-GB"/>
        </w:rPr>
        <w:t xml:space="preserve">ment is a worrying development (see </w:t>
      </w:r>
      <w:r w:rsidR="00252825">
        <w:rPr>
          <w:lang w:val="en-GB"/>
        </w:rPr>
        <w:t xml:space="preserve">Statistical Annex for Article 6 </w:t>
      </w:r>
      <w:r w:rsidR="00C73BAC">
        <w:rPr>
          <w:lang w:val="en-GB"/>
        </w:rPr>
        <w:t xml:space="preserve">– </w:t>
      </w:r>
      <w:r w:rsidR="00C76440">
        <w:rPr>
          <w:lang w:val="en-GB"/>
        </w:rPr>
        <w:t xml:space="preserve">Annex 1, </w:t>
      </w:r>
      <w:r w:rsidR="00C73BAC">
        <w:rPr>
          <w:lang w:val="en-GB"/>
        </w:rPr>
        <w:t xml:space="preserve">table 3D). </w:t>
      </w:r>
      <w:r w:rsidRPr="008537D2">
        <w:rPr>
          <w:lang w:val="en-GB"/>
        </w:rPr>
        <w:t xml:space="preserve"> </w:t>
      </w:r>
    </w:p>
    <w:p w:rsidR="00D61218" w:rsidRPr="004D6F7C" w:rsidRDefault="00D61218" w:rsidP="00D61218">
      <w:pPr>
        <w:ind w:right="26"/>
        <w:jc w:val="both"/>
        <w:rPr>
          <w:highlight w:val="cyan"/>
          <w:lang w:val="en-GB"/>
        </w:rPr>
      </w:pPr>
    </w:p>
    <w:p w:rsidR="00B4782D" w:rsidRPr="00555E51" w:rsidRDefault="00822681" w:rsidP="00555E51">
      <w:pPr>
        <w:widowControl w:val="0"/>
        <w:autoSpaceDE w:val="0"/>
        <w:autoSpaceDN w:val="0"/>
        <w:adjustRightInd w:val="0"/>
        <w:ind w:right="26"/>
        <w:jc w:val="both"/>
        <w:rPr>
          <w:b/>
          <w:lang w:val="en-US"/>
        </w:rPr>
      </w:pPr>
      <w:r>
        <w:rPr>
          <w:b/>
          <w:lang w:val="en-US"/>
        </w:rPr>
        <w:t>Regional unemployment rates (para</w:t>
      </w:r>
      <w:r w:rsidR="00B4782D">
        <w:rPr>
          <w:b/>
          <w:lang w:val="en-US"/>
        </w:rPr>
        <w:t xml:space="preserve">. </w:t>
      </w:r>
      <w:r>
        <w:rPr>
          <w:b/>
          <w:lang w:val="en-US"/>
        </w:rPr>
        <w:t>35 of the Committee’s Concluding Observations)</w:t>
      </w:r>
    </w:p>
    <w:p w:rsidR="001E3940" w:rsidRDefault="00B4782D" w:rsidP="00C03113">
      <w:pPr>
        <w:numPr>
          <w:ilvl w:val="0"/>
          <w:numId w:val="43"/>
        </w:numPr>
        <w:ind w:right="26"/>
        <w:jc w:val="both"/>
        <w:rPr>
          <w:lang w:val="en-US"/>
        </w:rPr>
      </w:pPr>
      <w:r w:rsidRPr="00733151">
        <w:rPr>
          <w:bCs/>
          <w:lang w:val="en-GB"/>
        </w:rPr>
        <w:t xml:space="preserve">Looking into the geographical areas, we conclude that </w:t>
      </w:r>
      <w:r w:rsidRPr="008646BF">
        <w:rPr>
          <w:b/>
          <w:bCs/>
          <w:lang w:val="en-GB"/>
        </w:rPr>
        <w:t>unemployment is high across all Greek regions</w:t>
      </w:r>
      <w:r w:rsidRPr="00733151">
        <w:rPr>
          <w:bCs/>
          <w:lang w:val="en-GB"/>
        </w:rPr>
        <w:t xml:space="preserve"> (2-digit rates). </w:t>
      </w:r>
      <w:r>
        <w:rPr>
          <w:bCs/>
          <w:lang w:val="en-GB"/>
        </w:rPr>
        <w:t xml:space="preserve">At regional level, the highest unemployment rate is observed in Western Macedonia where it reaches 25% and in Central Greece with 23,8% respectively. On the contrary, the lowest unemployment rate is reported in the South Aegean with 11,9% and in the Ionian Islands with 13,9% (see </w:t>
      </w:r>
      <w:r>
        <w:rPr>
          <w:lang w:val="en-GB"/>
        </w:rPr>
        <w:t>Statistical Annex for Article 6</w:t>
      </w:r>
      <w:r>
        <w:rPr>
          <w:bCs/>
          <w:lang w:val="en-GB"/>
        </w:rPr>
        <w:t xml:space="preserve"> – </w:t>
      </w:r>
      <w:r w:rsidR="00C76440">
        <w:rPr>
          <w:bCs/>
          <w:lang w:val="en-GB"/>
        </w:rPr>
        <w:t xml:space="preserve">Annex 1, </w:t>
      </w:r>
      <w:r>
        <w:rPr>
          <w:bCs/>
          <w:lang w:val="en-GB"/>
        </w:rPr>
        <w:t xml:space="preserve">table 3E and table 3F).  </w:t>
      </w:r>
      <w:r w:rsidR="00822681">
        <w:rPr>
          <w:lang w:val="en-US"/>
        </w:rPr>
        <w:t>The large deviation in</w:t>
      </w:r>
      <w:r w:rsidR="00822681">
        <w:rPr>
          <w:i/>
          <w:lang w:val="en-US"/>
        </w:rPr>
        <w:t xml:space="preserve"> </w:t>
      </w:r>
      <w:r w:rsidR="00822681">
        <w:rPr>
          <w:lang w:val="en-US"/>
        </w:rPr>
        <w:t xml:space="preserve">unemployment and employment rates in the various regions of the country reflects the low geographical mobility of workers. The limited geographical mobility could be attributed to: (a) the high rate of owner occupancy in Greece (over 80%); (b) the relatively high transportation cost that does not allow the daily commuting of workers; and (c) cultural considerations. There is a provision in the Operational Program ‘Human Resource Development’ 2007-2013 for Regional Specification of the labour market needs in order to effectively counter regional disparities. </w:t>
      </w:r>
    </w:p>
    <w:p w:rsidR="007170DD" w:rsidRPr="001E3940" w:rsidRDefault="007170DD">
      <w:pPr>
        <w:ind w:right="26"/>
        <w:jc w:val="both"/>
        <w:rPr>
          <w:lang w:val="en-GB"/>
        </w:rPr>
      </w:pPr>
    </w:p>
    <w:p w:rsidR="00822681" w:rsidRDefault="00822681" w:rsidP="00C03113">
      <w:pPr>
        <w:numPr>
          <w:ilvl w:val="0"/>
          <w:numId w:val="43"/>
        </w:numPr>
        <w:ind w:right="26"/>
        <w:jc w:val="both"/>
        <w:rPr>
          <w:lang w:val="en-US"/>
        </w:rPr>
      </w:pPr>
      <w:r>
        <w:rPr>
          <w:lang w:val="en-US"/>
        </w:rPr>
        <w:t xml:space="preserve">A very important category of actions within the context of actions of the Ministry of Labour and Social Security and Regional Operational Programs are the special Integrated Interventions Programs in prefectures of the country afflicted particularly by unemployment, through the implementation of combined actions of </w:t>
      </w:r>
      <w:r w:rsidR="009C43A8">
        <w:rPr>
          <w:lang w:val="en-US"/>
        </w:rPr>
        <w:t>counseling</w:t>
      </w:r>
      <w:r>
        <w:rPr>
          <w:lang w:val="en-US"/>
        </w:rPr>
        <w:t xml:space="preserve"> services, training, increased subsidy to enterprises for creation of new job posts, and subsidy to unemployed persons for the creation of their own enterprise. </w:t>
      </w:r>
    </w:p>
    <w:p w:rsidR="00822681" w:rsidRDefault="00822681">
      <w:pPr>
        <w:ind w:right="26"/>
        <w:jc w:val="both"/>
        <w:rPr>
          <w:lang w:val="en-US"/>
        </w:rPr>
      </w:pPr>
    </w:p>
    <w:p w:rsidR="00822681" w:rsidRDefault="00822681" w:rsidP="00C03113">
      <w:pPr>
        <w:numPr>
          <w:ilvl w:val="0"/>
          <w:numId w:val="43"/>
        </w:numPr>
        <w:ind w:right="26"/>
        <w:jc w:val="both"/>
        <w:rPr>
          <w:lang w:val="en-GB"/>
        </w:rPr>
      </w:pPr>
      <w:r>
        <w:rPr>
          <w:lang w:val="en-GB"/>
        </w:rPr>
        <w:t>Within this framework, programmes for the re-hiring of unemployed persons to hotel undertakings of seasonal and continuous operation through the subsidization of the social security have been designed. The total budget of the programmes amounts to 95.000.000€ and 120.000 persons approximately are expected to be benefited.</w:t>
      </w:r>
    </w:p>
    <w:p w:rsidR="00AA37C3" w:rsidRPr="001E3940" w:rsidRDefault="00AA37C3" w:rsidP="00C03113">
      <w:pPr>
        <w:ind w:right="26" w:firstLine="120"/>
        <w:jc w:val="both"/>
        <w:rPr>
          <w:lang w:val="en-US"/>
        </w:rPr>
      </w:pPr>
    </w:p>
    <w:p w:rsidR="00822681" w:rsidRDefault="00822681" w:rsidP="00555E51">
      <w:pPr>
        <w:ind w:right="26"/>
        <w:jc w:val="both"/>
        <w:rPr>
          <w:b/>
          <w:lang w:val="en-US"/>
        </w:rPr>
      </w:pPr>
      <w:r>
        <w:rPr>
          <w:b/>
          <w:lang w:val="en-US"/>
        </w:rPr>
        <w:t>Employment policy with regard to women and young people</w:t>
      </w:r>
    </w:p>
    <w:p w:rsidR="00822681" w:rsidRDefault="00822681" w:rsidP="00C03113">
      <w:pPr>
        <w:numPr>
          <w:ilvl w:val="0"/>
          <w:numId w:val="43"/>
        </w:numPr>
        <w:ind w:right="26"/>
        <w:jc w:val="both"/>
        <w:rPr>
          <w:szCs w:val="25"/>
          <w:lang w:val="en-US"/>
        </w:rPr>
      </w:pPr>
      <w:r>
        <w:rPr>
          <w:lang w:val="en-GB"/>
        </w:rPr>
        <w:t xml:space="preserve">The analysis of unemployment by gender and age group confirms that the most important unemployment problem is faced by women and young people. </w:t>
      </w:r>
      <w:r>
        <w:rPr>
          <w:szCs w:val="25"/>
          <w:lang w:val="en-US"/>
        </w:rPr>
        <w:t>On the Greek employment policy with regard, in particular, to women and young people the following should be stressed:</w:t>
      </w:r>
    </w:p>
    <w:p w:rsidR="00822681" w:rsidRDefault="00822681">
      <w:pPr>
        <w:ind w:right="26"/>
        <w:jc w:val="both"/>
        <w:rPr>
          <w:b/>
          <w:lang w:val="en-US"/>
        </w:rPr>
      </w:pPr>
    </w:p>
    <w:p w:rsidR="00822681" w:rsidRPr="00555E51" w:rsidRDefault="00822681" w:rsidP="00555E51">
      <w:pPr>
        <w:ind w:right="26"/>
        <w:jc w:val="both"/>
        <w:rPr>
          <w:b/>
          <w:szCs w:val="22"/>
          <w:lang w:val="en-US"/>
        </w:rPr>
      </w:pPr>
      <w:r w:rsidRPr="00555E51">
        <w:rPr>
          <w:b/>
          <w:szCs w:val="22"/>
          <w:lang w:val="en-US"/>
        </w:rPr>
        <w:t>Actions for the implementation of equality of opportunity or treatment in employment or occupation</w:t>
      </w:r>
    </w:p>
    <w:p w:rsidR="00822681" w:rsidRDefault="00822681">
      <w:pPr>
        <w:ind w:right="26"/>
        <w:jc w:val="both"/>
        <w:rPr>
          <w:lang w:val="en-US"/>
        </w:rPr>
      </w:pPr>
    </w:p>
    <w:p w:rsidR="00822681" w:rsidRDefault="00822681" w:rsidP="00C03113">
      <w:pPr>
        <w:numPr>
          <w:ilvl w:val="0"/>
          <w:numId w:val="43"/>
        </w:numPr>
        <w:jc w:val="both"/>
        <w:rPr>
          <w:sz w:val="28"/>
          <w:szCs w:val="28"/>
          <w:lang w:val="en-GB"/>
        </w:rPr>
      </w:pPr>
      <w:r w:rsidRPr="00E45D1E">
        <w:rPr>
          <w:lang w:val="en-GB"/>
        </w:rPr>
        <w:t>The issues of women’s unemployment and reduction of gender discrimination</w:t>
      </w:r>
      <w:r>
        <w:rPr>
          <w:szCs w:val="22"/>
          <w:lang w:val="en-GB"/>
        </w:rPr>
        <w:t xml:space="preserve"> in the labour market are dealt with by the adoption of cross-cutting measures, but also through special programs for unemployed women aiming to enhance their effective access to the labour market and the elimination of social exclusion. </w:t>
      </w:r>
      <w:r>
        <w:rPr>
          <w:lang w:val="en-GB"/>
        </w:rPr>
        <w:t xml:space="preserve">Under the GSGE National Action Plan for Substantive Gender Equality 2010-2013, the Advisory Centres services will support unemployed and self-employed women and female </w:t>
      </w:r>
      <w:r>
        <w:rPr>
          <w:lang w:val="en-GB"/>
        </w:rPr>
        <w:lastRenderedPageBreak/>
        <w:t xml:space="preserve">owners of small businesses to upgrade their knowledge and skills in order to improve their labour market position. </w:t>
      </w:r>
    </w:p>
    <w:p w:rsidR="00822681" w:rsidRDefault="00822681">
      <w:pPr>
        <w:jc w:val="both"/>
        <w:rPr>
          <w:sz w:val="28"/>
          <w:szCs w:val="28"/>
          <w:lang w:val="en-GB"/>
        </w:rPr>
      </w:pPr>
    </w:p>
    <w:p w:rsidR="00822681" w:rsidRDefault="00822681" w:rsidP="00C03113">
      <w:pPr>
        <w:numPr>
          <w:ilvl w:val="0"/>
          <w:numId w:val="43"/>
        </w:numPr>
        <w:ind w:right="26"/>
        <w:jc w:val="both"/>
        <w:rPr>
          <w:szCs w:val="22"/>
          <w:lang w:val="en-US"/>
        </w:rPr>
      </w:pPr>
      <w:r>
        <w:rPr>
          <w:szCs w:val="22"/>
          <w:lang w:val="en-US"/>
        </w:rPr>
        <w:t xml:space="preserve">Furthermore, the Operational Program “Administrative Reform 2007-2013” within the National Strategic Reference framework, provides for “Enhancing women’s employment in the public and the social sector”. The  programme aims at the improvement of possibilities of women’s promotion in posts of responsibility to Public Administration by means of action plans targeted to their personal empowerment and the improvement of their skills. </w:t>
      </w:r>
    </w:p>
    <w:p w:rsidR="007170DD" w:rsidRDefault="007170DD">
      <w:pPr>
        <w:tabs>
          <w:tab w:val="num" w:pos="947"/>
        </w:tabs>
        <w:ind w:right="26"/>
        <w:jc w:val="both"/>
        <w:rPr>
          <w:szCs w:val="22"/>
          <w:lang w:val="en-US"/>
        </w:rPr>
      </w:pPr>
    </w:p>
    <w:p w:rsidR="00822681" w:rsidRDefault="00822681" w:rsidP="00C03113">
      <w:pPr>
        <w:numPr>
          <w:ilvl w:val="0"/>
          <w:numId w:val="43"/>
        </w:numPr>
        <w:ind w:right="26"/>
        <w:jc w:val="both"/>
        <w:rPr>
          <w:szCs w:val="22"/>
          <w:lang w:val="en-US"/>
        </w:rPr>
      </w:pPr>
      <w:r>
        <w:rPr>
          <w:szCs w:val="22"/>
          <w:lang w:val="en-US"/>
        </w:rPr>
        <w:t>Moreover, through the third Community Support Framework, the Secretary General for gender equality elaborated the project “Integrated Interventions in favour of women”, which benefited 9.018 w</w:t>
      </w:r>
      <w:r w:rsidR="007170DD">
        <w:rPr>
          <w:szCs w:val="22"/>
          <w:lang w:val="en-US"/>
        </w:rPr>
        <w:t>omen.</w:t>
      </w:r>
    </w:p>
    <w:p w:rsidR="007170DD" w:rsidRDefault="007170DD">
      <w:pPr>
        <w:ind w:right="26"/>
        <w:jc w:val="both"/>
        <w:rPr>
          <w:szCs w:val="22"/>
          <w:lang w:val="en-US"/>
        </w:rPr>
      </w:pPr>
    </w:p>
    <w:p w:rsidR="00822681" w:rsidRDefault="00822681" w:rsidP="00C03113">
      <w:pPr>
        <w:numPr>
          <w:ilvl w:val="0"/>
          <w:numId w:val="43"/>
        </w:numPr>
        <w:ind w:right="26"/>
        <w:jc w:val="both"/>
        <w:rPr>
          <w:szCs w:val="22"/>
          <w:lang w:val="en-US"/>
        </w:rPr>
      </w:pPr>
      <w:r>
        <w:rPr>
          <w:szCs w:val="22"/>
          <w:lang w:val="en-US"/>
        </w:rPr>
        <w:t>As for regional development, emphasis has been given to the elaboration of the National Strategic Reference Framework 2007-2013.  Five Regional Operational Programmes will contribute to the covering of national strategic objectives additionally to sectoral programmes, with emphasis to specific characteristics and needs of every Region.</w:t>
      </w:r>
    </w:p>
    <w:p w:rsidR="00822681" w:rsidRDefault="00822681">
      <w:pPr>
        <w:ind w:right="26"/>
        <w:jc w:val="both"/>
        <w:rPr>
          <w:szCs w:val="22"/>
          <w:lang w:val="en-US"/>
        </w:rPr>
      </w:pPr>
    </w:p>
    <w:p w:rsidR="00822681" w:rsidRDefault="00822681" w:rsidP="00C03113">
      <w:pPr>
        <w:numPr>
          <w:ilvl w:val="0"/>
          <w:numId w:val="43"/>
        </w:numPr>
        <w:ind w:right="26"/>
        <w:jc w:val="both"/>
        <w:rPr>
          <w:i/>
          <w:lang w:val="en-US"/>
        </w:rPr>
      </w:pPr>
      <w:r>
        <w:rPr>
          <w:lang w:val="en-US"/>
        </w:rPr>
        <w:t>Law 3896/2010</w:t>
      </w:r>
      <w:r>
        <w:rPr>
          <w:lang w:val="en-GB"/>
        </w:rPr>
        <w:t xml:space="preserve"> </w:t>
      </w:r>
      <w:r>
        <w:rPr>
          <w:lang w:val="en-US"/>
        </w:rPr>
        <w:t xml:space="preserve">on “Application of the principle of equal opportunities and equal treatment between men and women in matters of labour and employment”, incorporating EU Directive 2006/54/EU refers to sexual harassment, which is considered as discrimination on the ground of gender in the workplace. The above law introduces the principle of equal treatment forbidding strictly, every form of direct or indirect gender discrimination. Particularly, it forbids any discrimination </w:t>
      </w:r>
      <w:r w:rsidR="007170DD">
        <w:rPr>
          <w:lang w:val="en-US"/>
        </w:rPr>
        <w:t>on the basis of</w:t>
      </w:r>
      <w:r>
        <w:rPr>
          <w:lang w:val="en-US"/>
        </w:rPr>
        <w:t xml:space="preserve"> gender or marital status, specifies explicitly that men and women are entitled to equal payment for equal work and abolishes any discrimination between m</w:t>
      </w:r>
      <w:r w:rsidR="007170DD">
        <w:rPr>
          <w:lang w:val="en-US"/>
        </w:rPr>
        <w:t>en and women in employment. The</w:t>
      </w:r>
      <w:r>
        <w:rPr>
          <w:lang w:val="en-US"/>
        </w:rPr>
        <w:t xml:space="preserve"> law specifies the civil, administrative and penal sanctions incurred </w:t>
      </w:r>
      <w:r w:rsidR="007170DD">
        <w:rPr>
          <w:lang w:val="en-US"/>
        </w:rPr>
        <w:t>for</w:t>
      </w:r>
      <w:r>
        <w:rPr>
          <w:lang w:val="en-US"/>
        </w:rPr>
        <w:t xml:space="preserve"> its violation, while </w:t>
      </w:r>
      <w:r w:rsidR="007170DD">
        <w:rPr>
          <w:lang w:val="en-US"/>
        </w:rPr>
        <w:t xml:space="preserve">assigning the burden of proof to </w:t>
      </w:r>
      <w:r>
        <w:rPr>
          <w:lang w:val="en-US"/>
        </w:rPr>
        <w:t xml:space="preserve">the offender. The Greek Ombudsman is entitled to monitor the application of the principle of equal treatment for men and women, co-operating in parallel with the Labour Inspectorate with regard to the private sector. </w:t>
      </w:r>
    </w:p>
    <w:p w:rsidR="00822681" w:rsidRDefault="00822681">
      <w:pPr>
        <w:ind w:right="26"/>
        <w:jc w:val="both"/>
        <w:rPr>
          <w:szCs w:val="22"/>
          <w:lang w:val="en-US"/>
        </w:rPr>
      </w:pPr>
    </w:p>
    <w:p w:rsidR="00822681" w:rsidRDefault="00822681" w:rsidP="00C03113">
      <w:pPr>
        <w:numPr>
          <w:ilvl w:val="0"/>
          <w:numId w:val="43"/>
        </w:numPr>
        <w:ind w:right="26"/>
        <w:jc w:val="both"/>
        <w:rPr>
          <w:bCs/>
          <w:szCs w:val="22"/>
          <w:lang w:val="en-US"/>
        </w:rPr>
      </w:pPr>
      <w:r>
        <w:rPr>
          <w:bCs/>
          <w:szCs w:val="22"/>
          <w:lang w:val="en-US"/>
        </w:rPr>
        <w:t xml:space="preserve">A Memorandum of Co-operation between the Secretariat General of Gender Equality and the Office of the UNHCR in Greece </w:t>
      </w:r>
      <w:r w:rsidR="007170DD">
        <w:rPr>
          <w:bCs/>
          <w:szCs w:val="22"/>
          <w:lang w:val="en-US"/>
        </w:rPr>
        <w:t>has been</w:t>
      </w:r>
      <w:r>
        <w:rPr>
          <w:bCs/>
          <w:szCs w:val="22"/>
          <w:lang w:val="en-US"/>
        </w:rPr>
        <w:t xml:space="preserve"> signed in order to </w:t>
      </w:r>
      <w:r w:rsidR="007170DD">
        <w:rPr>
          <w:bCs/>
          <w:szCs w:val="22"/>
          <w:lang w:val="en-US"/>
        </w:rPr>
        <w:t xml:space="preserve">jointly </w:t>
      </w:r>
      <w:r>
        <w:rPr>
          <w:bCs/>
          <w:szCs w:val="22"/>
          <w:lang w:val="en-US"/>
        </w:rPr>
        <w:t xml:space="preserve">defend the rights of women and minor girls who have </w:t>
      </w:r>
      <w:r w:rsidR="007170DD">
        <w:rPr>
          <w:bCs/>
          <w:szCs w:val="22"/>
          <w:lang w:val="en-US"/>
        </w:rPr>
        <w:t>requested</w:t>
      </w:r>
      <w:r>
        <w:rPr>
          <w:bCs/>
          <w:szCs w:val="22"/>
          <w:lang w:val="en-US"/>
        </w:rPr>
        <w:t xml:space="preserve"> asylum or to whom asylum or a humanitarian status in Greece has been provided. </w:t>
      </w:r>
    </w:p>
    <w:p w:rsidR="00822681" w:rsidRDefault="00822681">
      <w:pPr>
        <w:ind w:right="26"/>
        <w:jc w:val="both"/>
        <w:rPr>
          <w:lang w:val="en-US"/>
        </w:rPr>
      </w:pPr>
    </w:p>
    <w:p w:rsidR="00822681" w:rsidRDefault="00822681" w:rsidP="00555E51">
      <w:pPr>
        <w:ind w:right="26"/>
        <w:jc w:val="both"/>
        <w:rPr>
          <w:i/>
          <w:szCs w:val="25"/>
          <w:lang w:val="en-US"/>
        </w:rPr>
      </w:pPr>
      <w:r>
        <w:rPr>
          <w:i/>
          <w:szCs w:val="25"/>
          <w:lang w:val="en-US"/>
        </w:rPr>
        <w:t>Actions of the Manpower Employment Organization (OAED)</w:t>
      </w:r>
    </w:p>
    <w:p w:rsidR="00822681" w:rsidRDefault="00822681" w:rsidP="00C03113">
      <w:pPr>
        <w:numPr>
          <w:ilvl w:val="0"/>
          <w:numId w:val="43"/>
        </w:numPr>
        <w:ind w:right="26"/>
        <w:jc w:val="both"/>
        <w:rPr>
          <w:szCs w:val="25"/>
          <w:lang w:val="en-US"/>
        </w:rPr>
      </w:pPr>
      <w:r>
        <w:rPr>
          <w:szCs w:val="25"/>
          <w:lang w:val="en-US"/>
        </w:rPr>
        <w:t xml:space="preserve">The acute unemployment problem of women </w:t>
      </w:r>
      <w:r w:rsidR="00631C4E">
        <w:rPr>
          <w:szCs w:val="25"/>
          <w:lang w:val="en-US"/>
        </w:rPr>
        <w:t xml:space="preserve">was </w:t>
      </w:r>
      <w:r>
        <w:rPr>
          <w:szCs w:val="25"/>
          <w:lang w:val="en-US"/>
        </w:rPr>
        <w:t xml:space="preserve">dealt with by </w:t>
      </w:r>
      <w:r w:rsidR="00631C4E">
        <w:rPr>
          <w:szCs w:val="25"/>
          <w:lang w:val="en-US"/>
        </w:rPr>
        <w:t xml:space="preserve">the </w:t>
      </w:r>
      <w:r>
        <w:rPr>
          <w:szCs w:val="25"/>
          <w:lang w:val="en-US"/>
        </w:rPr>
        <w:t xml:space="preserve">OAED through a series of active policies and targeted employment programs. The encouragement of a larger participation of women in the labour market is one of the main guidelines of the Organization’s employment strategy. In this framework a number of targeted measures and programmes are being implemented in order to boost women’s employment and to promote women entrepreneurship.  </w:t>
      </w:r>
    </w:p>
    <w:p w:rsidR="00822681" w:rsidRDefault="00822681" w:rsidP="00555E51">
      <w:pPr>
        <w:pStyle w:val="Heading5"/>
        <w:ind w:right="26"/>
        <w:jc w:val="both"/>
        <w:rPr>
          <w:b w:val="0"/>
          <w:i w:val="0"/>
          <w:sz w:val="24"/>
          <w:szCs w:val="24"/>
          <w:u w:val="single"/>
          <w:lang w:val="en-GB"/>
        </w:rPr>
      </w:pPr>
      <w:r>
        <w:rPr>
          <w:b w:val="0"/>
          <w:i w:val="0"/>
          <w:sz w:val="24"/>
          <w:szCs w:val="24"/>
          <w:u w:val="single"/>
          <w:lang w:val="en-US"/>
        </w:rPr>
        <w:t xml:space="preserve">Young People </w:t>
      </w:r>
    </w:p>
    <w:p w:rsidR="00D34F81" w:rsidRDefault="00D34F81" w:rsidP="00C03113">
      <w:pPr>
        <w:numPr>
          <w:ilvl w:val="0"/>
          <w:numId w:val="43"/>
        </w:numPr>
        <w:ind w:right="26"/>
        <w:jc w:val="both"/>
        <w:rPr>
          <w:lang w:val="en-GB"/>
        </w:rPr>
      </w:pPr>
      <w:r w:rsidRPr="00D34F81">
        <w:rPr>
          <w:lang w:val="en-GB"/>
        </w:rPr>
        <w:t xml:space="preserve">The major causes that lead the young people to unemployment are: </w:t>
      </w:r>
      <w:r w:rsidRPr="009B7557">
        <w:rPr>
          <w:lang w:val="en-GB"/>
        </w:rPr>
        <w:t>(</w:t>
      </w:r>
      <w:r w:rsidRPr="00D34F81">
        <w:rPr>
          <w:lang w:val="en-GB"/>
        </w:rPr>
        <w:t>a</w:t>
      </w:r>
      <w:r w:rsidRPr="009B7557">
        <w:rPr>
          <w:lang w:val="en-GB"/>
        </w:rPr>
        <w:t xml:space="preserve">) </w:t>
      </w:r>
      <w:r w:rsidRPr="00D34F81">
        <w:rPr>
          <w:lang w:val="en-GB"/>
        </w:rPr>
        <w:t xml:space="preserve">the established mismatch between the qualifications and the skills that the youth possess </w:t>
      </w:r>
      <w:r w:rsidRPr="00D34F81">
        <w:rPr>
          <w:lang w:val="en-GB"/>
        </w:rPr>
        <w:lastRenderedPageBreak/>
        <w:t>and the specializations demanded by the enterprises,</w:t>
      </w:r>
      <w:r w:rsidRPr="009B7557">
        <w:rPr>
          <w:lang w:val="en-GB"/>
        </w:rPr>
        <w:t xml:space="preserve"> (</w:t>
      </w:r>
      <w:r w:rsidRPr="00D34F81">
        <w:rPr>
          <w:lang w:val="en-GB"/>
        </w:rPr>
        <w:t>b</w:t>
      </w:r>
      <w:r w:rsidRPr="009B7557">
        <w:rPr>
          <w:lang w:val="en-GB"/>
        </w:rPr>
        <w:t>)</w:t>
      </w:r>
      <w:r w:rsidRPr="00D34F81">
        <w:rPr>
          <w:lang w:val="en-GB"/>
        </w:rPr>
        <w:t xml:space="preserve"> the lack of working experience, that is connected to the reluctance of the employees to hire people with no experience</w:t>
      </w:r>
      <w:r w:rsidRPr="009B7557">
        <w:rPr>
          <w:lang w:val="en-GB"/>
        </w:rPr>
        <w:t xml:space="preserve"> </w:t>
      </w:r>
      <w:r w:rsidRPr="00D34F81">
        <w:rPr>
          <w:lang w:val="en-GB"/>
        </w:rPr>
        <w:t>and (c) the relatively greater participation of young people in educational programmes.</w:t>
      </w:r>
    </w:p>
    <w:p w:rsidR="00555E51" w:rsidRPr="00D34F81" w:rsidRDefault="00555E51" w:rsidP="00555E51">
      <w:pPr>
        <w:ind w:right="26"/>
        <w:jc w:val="both"/>
        <w:rPr>
          <w:lang w:val="en-GB"/>
        </w:rPr>
      </w:pPr>
    </w:p>
    <w:p w:rsidR="00D34F81" w:rsidRDefault="00D34F81" w:rsidP="00C03113">
      <w:pPr>
        <w:numPr>
          <w:ilvl w:val="0"/>
          <w:numId w:val="43"/>
        </w:numPr>
        <w:autoSpaceDE w:val="0"/>
        <w:autoSpaceDN w:val="0"/>
        <w:adjustRightInd w:val="0"/>
        <w:ind w:right="26"/>
        <w:jc w:val="both"/>
        <w:rPr>
          <w:bCs/>
          <w:lang w:val="en-GB"/>
        </w:rPr>
      </w:pPr>
      <w:r w:rsidRPr="00D34F81">
        <w:rPr>
          <w:bCs/>
          <w:u w:val="dash"/>
          <w:lang w:val="en-GB"/>
        </w:rPr>
        <w:t>Comparison</w:t>
      </w:r>
      <w:r w:rsidRPr="00D34F81">
        <w:rPr>
          <w:bCs/>
          <w:lang w:val="en-GB"/>
        </w:rPr>
        <w:t>: The following tables show the unemployment rates of young people in Greece and EU-27.</w:t>
      </w:r>
      <w:r w:rsidR="00252825">
        <w:rPr>
          <w:bCs/>
          <w:lang w:val="en-GB"/>
        </w:rPr>
        <w:t xml:space="preserve"> </w:t>
      </w:r>
    </w:p>
    <w:p w:rsidR="007170DD" w:rsidRDefault="007170DD" w:rsidP="00D34F81">
      <w:pPr>
        <w:ind w:right="26"/>
        <w:jc w:val="both"/>
        <w:rPr>
          <w:b/>
          <w:lang w:val="en-GB"/>
        </w:rPr>
      </w:pPr>
    </w:p>
    <w:p w:rsidR="00D34F81" w:rsidRDefault="00D34F81" w:rsidP="00C03113">
      <w:pPr>
        <w:numPr>
          <w:ilvl w:val="0"/>
          <w:numId w:val="43"/>
        </w:numPr>
        <w:ind w:right="26"/>
        <w:jc w:val="both"/>
        <w:rPr>
          <w:lang w:val="en-GB"/>
        </w:rPr>
      </w:pPr>
      <w:r>
        <w:rPr>
          <w:lang w:val="en-GB"/>
        </w:rPr>
        <w:t xml:space="preserve">According to data provided by Eurostat and EL.STAT., youth unemployment rates in Greece are much higher than the European averages. Young women experience higher unemployment rates than young men. It should be mentioned however, that high unemployment rates among young people is a common challenge across all member states of the European Union. </w:t>
      </w:r>
    </w:p>
    <w:p w:rsidR="00EE61DC" w:rsidRDefault="00EE61DC" w:rsidP="00D34F81">
      <w:pPr>
        <w:autoSpaceDE w:val="0"/>
        <w:autoSpaceDN w:val="0"/>
        <w:adjustRightInd w:val="0"/>
        <w:ind w:right="29"/>
        <w:jc w:val="both"/>
        <w:rPr>
          <w:b/>
          <w:bCs/>
          <w:lang w:val="en-GB"/>
        </w:rPr>
      </w:pPr>
    </w:p>
    <w:p w:rsidR="00D34F81" w:rsidRPr="00E45D1E" w:rsidRDefault="00D34F81" w:rsidP="00C03113">
      <w:pPr>
        <w:numPr>
          <w:ilvl w:val="0"/>
          <w:numId w:val="43"/>
        </w:numPr>
        <w:autoSpaceDE w:val="0"/>
        <w:autoSpaceDN w:val="0"/>
        <w:adjustRightInd w:val="0"/>
        <w:ind w:right="29"/>
        <w:jc w:val="both"/>
        <w:rPr>
          <w:bCs/>
          <w:lang w:val="en-GB"/>
        </w:rPr>
      </w:pPr>
      <w:r w:rsidRPr="00E45D1E">
        <w:rPr>
          <w:bCs/>
          <w:lang w:val="en-GB"/>
        </w:rPr>
        <w:t>Table</w:t>
      </w:r>
      <w:r w:rsidR="002A4AD0" w:rsidRPr="00E45D1E">
        <w:rPr>
          <w:bCs/>
          <w:lang w:val="en-GB"/>
        </w:rPr>
        <w:t xml:space="preserve"> B</w:t>
      </w:r>
      <w:r w:rsidRPr="00E45D1E">
        <w:rPr>
          <w:bCs/>
          <w:lang w:val="en-GB"/>
        </w:rPr>
        <w:t>: Unemployment rates in Greece by age group and gender (%)</w:t>
      </w:r>
    </w:p>
    <w:p w:rsidR="00D34F81" w:rsidRPr="00C24C89" w:rsidRDefault="0016587F" w:rsidP="00555E51">
      <w:pPr>
        <w:autoSpaceDE w:val="0"/>
        <w:autoSpaceDN w:val="0"/>
        <w:adjustRightInd w:val="0"/>
        <w:ind w:right="29"/>
        <w:jc w:val="both"/>
      </w:pPr>
      <w:r>
        <w:rPr>
          <w:noProof/>
        </w:rPr>
        <w:drawing>
          <wp:inline distT="0" distB="0" distL="0" distR="0">
            <wp:extent cx="6286500" cy="1600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0" cy="1600200"/>
                    </a:xfrm>
                    <a:prstGeom prst="rect">
                      <a:avLst/>
                    </a:prstGeom>
                    <a:noFill/>
                    <a:ln w="9525">
                      <a:noFill/>
                      <a:miter lim="800000"/>
                      <a:headEnd/>
                      <a:tailEnd/>
                    </a:ln>
                  </pic:spPr>
                </pic:pic>
              </a:graphicData>
            </a:graphic>
          </wp:inline>
        </w:drawing>
      </w:r>
    </w:p>
    <w:p w:rsidR="00D34F81" w:rsidRPr="00543B17" w:rsidRDefault="00D34F81" w:rsidP="00555E51">
      <w:pPr>
        <w:autoSpaceDE w:val="0"/>
        <w:autoSpaceDN w:val="0"/>
        <w:adjustRightInd w:val="0"/>
        <w:ind w:right="26"/>
        <w:jc w:val="both"/>
        <w:rPr>
          <w:b/>
          <w:bCs/>
          <w:lang w:val="en-GB"/>
        </w:rPr>
      </w:pPr>
      <w:r w:rsidRPr="00543B17">
        <w:rPr>
          <w:lang w:val="en-GB"/>
        </w:rPr>
        <w:t>Source: Eurostat</w:t>
      </w:r>
    </w:p>
    <w:p w:rsidR="00D34F81" w:rsidRDefault="00D34F81" w:rsidP="00D34F81">
      <w:pPr>
        <w:autoSpaceDE w:val="0"/>
        <w:autoSpaceDN w:val="0"/>
        <w:adjustRightInd w:val="0"/>
        <w:ind w:right="26"/>
        <w:jc w:val="both"/>
        <w:rPr>
          <w:lang w:val="en-GB"/>
        </w:rPr>
      </w:pPr>
    </w:p>
    <w:p w:rsidR="00D34F81" w:rsidRDefault="00D34F81" w:rsidP="00C03113">
      <w:pPr>
        <w:numPr>
          <w:ilvl w:val="0"/>
          <w:numId w:val="43"/>
        </w:numPr>
        <w:autoSpaceDE w:val="0"/>
        <w:autoSpaceDN w:val="0"/>
        <w:adjustRightInd w:val="0"/>
        <w:ind w:right="26"/>
        <w:jc w:val="both"/>
        <w:rPr>
          <w:lang w:val="en-GB"/>
        </w:rPr>
      </w:pPr>
      <w:r w:rsidRPr="00D34F81">
        <w:rPr>
          <w:lang w:val="en-GB"/>
        </w:rPr>
        <w:t>The graph below illustrates the Greek unemployment rate (</w:t>
      </w:r>
      <w:r w:rsidRPr="00D34F81">
        <w:rPr>
          <w:b/>
          <w:u w:val="dash"/>
          <w:lang w:val="en-GB"/>
        </w:rPr>
        <w:t>February 2012</w:t>
      </w:r>
      <w:r w:rsidRPr="00D34F81">
        <w:rPr>
          <w:lang w:val="en-GB"/>
        </w:rPr>
        <w:t xml:space="preserve">) by (main) age group. Obviously, the highest unemployment rates are observed among young people. </w:t>
      </w:r>
    </w:p>
    <w:p w:rsidR="00A2303A" w:rsidRPr="00D34F81" w:rsidRDefault="00A2303A" w:rsidP="00D34F81">
      <w:pPr>
        <w:autoSpaceDE w:val="0"/>
        <w:autoSpaceDN w:val="0"/>
        <w:adjustRightInd w:val="0"/>
        <w:ind w:right="26"/>
        <w:jc w:val="both"/>
        <w:rPr>
          <w:lang w:val="en-GB"/>
        </w:rPr>
      </w:pPr>
    </w:p>
    <w:p w:rsidR="00D34F81" w:rsidRPr="00D34F81" w:rsidRDefault="00D34F81" w:rsidP="00555E51">
      <w:pPr>
        <w:autoSpaceDE w:val="0"/>
        <w:autoSpaceDN w:val="0"/>
        <w:adjustRightInd w:val="0"/>
        <w:ind w:right="26"/>
        <w:jc w:val="both"/>
        <w:rPr>
          <w:b/>
          <w:lang w:val="en-GB"/>
        </w:rPr>
      </w:pPr>
      <w:r w:rsidRPr="00D34F81">
        <w:rPr>
          <w:b/>
          <w:lang w:val="en-GB"/>
        </w:rPr>
        <w:t>Graph: Unemployment rate in Greece by (main) age group - %</w:t>
      </w:r>
    </w:p>
    <w:p w:rsidR="00D34F81" w:rsidRPr="00751029" w:rsidRDefault="0016587F" w:rsidP="00555E51">
      <w:pPr>
        <w:autoSpaceDE w:val="0"/>
        <w:autoSpaceDN w:val="0"/>
        <w:adjustRightInd w:val="0"/>
        <w:ind w:right="26"/>
        <w:jc w:val="both"/>
      </w:pPr>
      <w:r>
        <w:rPr>
          <w:noProof/>
        </w:rPr>
        <w:drawing>
          <wp:inline distT="0" distB="0" distL="0" distR="0">
            <wp:extent cx="5419725" cy="3076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19725" cy="3076575"/>
                    </a:xfrm>
                    <a:prstGeom prst="rect">
                      <a:avLst/>
                    </a:prstGeom>
                    <a:noFill/>
                    <a:ln w="9525">
                      <a:noFill/>
                      <a:miter lim="800000"/>
                      <a:headEnd/>
                      <a:tailEnd/>
                    </a:ln>
                  </pic:spPr>
                </pic:pic>
              </a:graphicData>
            </a:graphic>
          </wp:inline>
        </w:drawing>
      </w:r>
    </w:p>
    <w:p w:rsidR="00D34F81" w:rsidRPr="00543B17" w:rsidRDefault="00D34F81" w:rsidP="00555E51">
      <w:pPr>
        <w:autoSpaceDE w:val="0"/>
        <w:autoSpaceDN w:val="0"/>
        <w:adjustRightInd w:val="0"/>
        <w:ind w:right="26"/>
        <w:jc w:val="both"/>
        <w:rPr>
          <w:b/>
          <w:bCs/>
          <w:lang w:val="en-GB"/>
        </w:rPr>
      </w:pPr>
      <w:r w:rsidRPr="00543B17">
        <w:rPr>
          <w:lang w:val="en-GB"/>
        </w:rPr>
        <w:t>Source: EL.STAT.</w:t>
      </w:r>
    </w:p>
    <w:p w:rsidR="00822681" w:rsidRDefault="00822681">
      <w:pPr>
        <w:ind w:right="26"/>
        <w:jc w:val="both"/>
        <w:rPr>
          <w:i/>
          <w:lang w:val="en-US"/>
        </w:rPr>
      </w:pPr>
    </w:p>
    <w:p w:rsidR="00822681" w:rsidRDefault="00822681" w:rsidP="00555E51">
      <w:pPr>
        <w:ind w:right="26"/>
        <w:jc w:val="both"/>
        <w:rPr>
          <w:i/>
          <w:lang w:val="en-US"/>
        </w:rPr>
      </w:pPr>
      <w:r>
        <w:rPr>
          <w:i/>
          <w:lang w:val="en-US"/>
        </w:rPr>
        <w:t xml:space="preserve">Policies for the promotion of employment and the reduction of unemployment of young people </w:t>
      </w:r>
    </w:p>
    <w:p w:rsidR="008A4122" w:rsidRPr="001E3940" w:rsidRDefault="00822681" w:rsidP="00C03113">
      <w:pPr>
        <w:numPr>
          <w:ilvl w:val="0"/>
          <w:numId w:val="43"/>
        </w:numPr>
        <w:ind w:right="26"/>
        <w:jc w:val="both"/>
        <w:rPr>
          <w:lang w:val="en-GB"/>
        </w:rPr>
      </w:pPr>
      <w:r>
        <w:rPr>
          <w:lang w:val="en-US"/>
        </w:rPr>
        <w:t xml:space="preserve">The young and, especially, those entering the labour market for the first time face particular difficulty in finding a job. </w:t>
      </w:r>
    </w:p>
    <w:p w:rsidR="001E3940" w:rsidRPr="001E3940" w:rsidRDefault="001E3940">
      <w:pPr>
        <w:ind w:right="26"/>
        <w:jc w:val="both"/>
        <w:rPr>
          <w:lang w:val="en-GB"/>
        </w:rPr>
      </w:pPr>
    </w:p>
    <w:p w:rsidR="00ED146E" w:rsidRPr="001E3940" w:rsidRDefault="008A4122" w:rsidP="00C03113">
      <w:pPr>
        <w:numPr>
          <w:ilvl w:val="0"/>
          <w:numId w:val="43"/>
        </w:numPr>
        <w:ind w:right="26"/>
        <w:jc w:val="both"/>
        <w:rPr>
          <w:szCs w:val="20"/>
          <w:lang w:val="en-GB"/>
        </w:rPr>
      </w:pPr>
      <w:r>
        <w:rPr>
          <w:lang w:val="en-US"/>
        </w:rPr>
        <w:t xml:space="preserve">Law 3845/2010 provides for </w:t>
      </w:r>
      <w:r w:rsidRPr="00882513">
        <w:rPr>
          <w:lang w:val="en-US"/>
        </w:rPr>
        <w:t>w</w:t>
      </w:r>
      <w:r w:rsidRPr="00882513">
        <w:rPr>
          <w:szCs w:val="20"/>
          <w:lang w:val="en-US"/>
        </w:rPr>
        <w:t>ork experience contracts</w:t>
      </w:r>
      <w:r>
        <w:rPr>
          <w:szCs w:val="20"/>
          <w:lang w:val="en-US"/>
        </w:rPr>
        <w:t xml:space="preserve"> under programmes for unemployed youngsters aged 16-24 with wages equal to 80% of the General National Collective Agreement and subsidization of their social security cost.</w:t>
      </w:r>
      <w:r w:rsidRPr="002B5F14">
        <w:rPr>
          <w:szCs w:val="20"/>
          <w:lang w:val="en-US"/>
        </w:rPr>
        <w:t xml:space="preserve"> </w:t>
      </w:r>
      <w:r>
        <w:rPr>
          <w:szCs w:val="20"/>
          <w:lang w:val="en-US"/>
        </w:rPr>
        <w:t xml:space="preserve">In the context of the measures taken in order to facilitate access of young people and newcomers in the labour market there is a work experience programme (stage) in the private sector for people aged 16-24. The programme concerns 5.000 beneficiaries and there is also the possibility to convert the work experience programme into a regular employment contract. </w:t>
      </w:r>
    </w:p>
    <w:p w:rsidR="001E3940" w:rsidRPr="001E3940" w:rsidRDefault="001E3940" w:rsidP="008A4122">
      <w:pPr>
        <w:ind w:right="26"/>
        <w:jc w:val="both"/>
        <w:rPr>
          <w:szCs w:val="20"/>
          <w:lang w:val="en-GB"/>
        </w:rPr>
      </w:pPr>
    </w:p>
    <w:p w:rsidR="008A4122" w:rsidRPr="002B5F14" w:rsidRDefault="00ED146E" w:rsidP="00C03113">
      <w:pPr>
        <w:numPr>
          <w:ilvl w:val="0"/>
          <w:numId w:val="43"/>
        </w:numPr>
        <w:ind w:right="26"/>
        <w:jc w:val="both"/>
        <w:rPr>
          <w:vanish/>
          <w:lang w:val="en-US"/>
        </w:rPr>
      </w:pPr>
      <w:r w:rsidRPr="00294E8E">
        <w:rPr>
          <w:bCs/>
          <w:lang w:val="en-US"/>
        </w:rPr>
        <w:t>Law No 3863/2010 aims to facilitate young people’s access to the labour market so that they might acquire work experience</w:t>
      </w:r>
      <w:r>
        <w:rPr>
          <w:bCs/>
          <w:lang w:val="en-US"/>
        </w:rPr>
        <w:t>. In particular, it</w:t>
      </w:r>
      <w:r w:rsidRPr="00294E8E">
        <w:rPr>
          <w:bCs/>
          <w:lang w:val="en-US"/>
        </w:rPr>
        <w:t xml:space="preserve"> provides that special apprenticeship contracts of up to one (1) year’s duration may be concluded between employers and persons who are between 15 and up to 18 years of age, in order for the latter to acquire skills</w:t>
      </w:r>
      <w:r>
        <w:rPr>
          <w:bCs/>
          <w:lang w:val="en-US"/>
        </w:rPr>
        <w:t>.</w:t>
      </w:r>
      <w:r w:rsidR="008A4122">
        <w:rPr>
          <w:szCs w:val="20"/>
          <w:lang w:val="en-US"/>
        </w:rPr>
        <w:t xml:space="preserve"> </w:t>
      </w:r>
      <w:r w:rsidRPr="00777AE2">
        <w:rPr>
          <w:lang w:val="en-US"/>
        </w:rPr>
        <w:t>The said apprentices are paid with the 70% of the minimum wage or salary provided for by the National General Labour Collective Agreement (EGSSE). These persons are not subject to the provisions of labour law, except for those on the health and safety of workers. Thus, a maximum period of time as well as a minimum wage for all these contracts is established. The general time limits in force for adolescents as well as the minimum age limit for employment are safeguarded</w:t>
      </w:r>
      <w:r>
        <w:rPr>
          <w:lang w:val="en-US"/>
        </w:rPr>
        <w:t>.</w:t>
      </w:r>
      <w:r w:rsidR="008A4122">
        <w:rPr>
          <w:szCs w:val="20"/>
          <w:lang w:val="en-US"/>
        </w:rPr>
        <w:t xml:space="preserve"> </w:t>
      </w:r>
    </w:p>
    <w:p w:rsidR="008A4122" w:rsidRDefault="008A4122" w:rsidP="008A4122">
      <w:pPr>
        <w:ind w:right="26"/>
        <w:jc w:val="both"/>
        <w:rPr>
          <w:lang w:val="en-US"/>
        </w:rPr>
      </w:pPr>
    </w:p>
    <w:p w:rsidR="007170DD" w:rsidRDefault="007170DD">
      <w:pPr>
        <w:ind w:right="26"/>
        <w:jc w:val="both"/>
        <w:rPr>
          <w:bCs/>
          <w:lang w:val="en-GB"/>
        </w:rPr>
      </w:pPr>
    </w:p>
    <w:p w:rsidR="00822681" w:rsidRPr="001E3940" w:rsidRDefault="00822681" w:rsidP="00C03113">
      <w:pPr>
        <w:numPr>
          <w:ilvl w:val="0"/>
          <w:numId w:val="43"/>
        </w:numPr>
        <w:ind w:right="26"/>
        <w:jc w:val="both"/>
        <w:rPr>
          <w:lang w:val="en-GB"/>
        </w:rPr>
      </w:pPr>
      <w:r>
        <w:rPr>
          <w:bCs/>
          <w:lang w:val="en-GB"/>
        </w:rPr>
        <w:t xml:space="preserve">The promotion of employment and the combat against unemployment of young people have become the Government’s high and immediate priority. </w:t>
      </w:r>
      <w:r>
        <w:rPr>
          <w:lang w:val="en-GB"/>
        </w:rPr>
        <w:t xml:space="preserve">To this end a </w:t>
      </w:r>
      <w:r>
        <w:rPr>
          <w:bCs/>
          <w:lang w:val="en-GB"/>
        </w:rPr>
        <w:t>coherent, integrated and effective strategy</w:t>
      </w:r>
      <w:r>
        <w:rPr>
          <w:lang w:val="en-GB"/>
        </w:rPr>
        <w:t xml:space="preserve"> for the promotion of employment among young people has been adopted, giving emphasis to the harmonization of education and vocational training with the labour market needs. </w:t>
      </w:r>
    </w:p>
    <w:p w:rsidR="001E3940" w:rsidRPr="001E3940" w:rsidRDefault="001E3940">
      <w:pPr>
        <w:ind w:right="26"/>
        <w:jc w:val="both"/>
        <w:rPr>
          <w:b/>
          <w:lang w:val="en-GB"/>
        </w:rPr>
      </w:pPr>
    </w:p>
    <w:p w:rsidR="008532C1" w:rsidRPr="008532C1" w:rsidRDefault="008532C1" w:rsidP="00C03113">
      <w:pPr>
        <w:numPr>
          <w:ilvl w:val="0"/>
          <w:numId w:val="43"/>
        </w:numPr>
        <w:ind w:right="26"/>
        <w:jc w:val="both"/>
        <w:rPr>
          <w:lang w:val="en-GB"/>
        </w:rPr>
      </w:pPr>
      <w:r w:rsidRPr="008532C1">
        <w:rPr>
          <w:lang w:val="en-GB"/>
        </w:rPr>
        <w:t>The quantitative objective of reducing the percentage of early school leavers below 10% by 2013 has been set. This objective is also part of the overall planning of the National Strategic Reference Framework 2007-2013. Reducing early school leaving percentage down to 12.5% by 2010 is the mid-objective. The respective follow-up indicator is “Early school leavers not in educati</w:t>
      </w:r>
      <w:r w:rsidR="007170DD">
        <w:rPr>
          <w:lang w:val="en-GB"/>
        </w:rPr>
        <w:t>on or training”</w:t>
      </w:r>
      <w:r w:rsidRPr="008532C1">
        <w:rPr>
          <w:lang w:val="en-GB"/>
        </w:rPr>
        <w:t>.</w:t>
      </w:r>
    </w:p>
    <w:p w:rsidR="00790939" w:rsidRPr="008532C1" w:rsidRDefault="00790939">
      <w:pPr>
        <w:ind w:right="26"/>
        <w:jc w:val="both"/>
        <w:rPr>
          <w:lang w:val="en-GB"/>
        </w:rPr>
      </w:pPr>
    </w:p>
    <w:p w:rsidR="00822681" w:rsidRDefault="00822681" w:rsidP="00C03113">
      <w:pPr>
        <w:numPr>
          <w:ilvl w:val="0"/>
          <w:numId w:val="43"/>
        </w:numPr>
        <w:ind w:right="26"/>
        <w:jc w:val="both"/>
        <w:rPr>
          <w:lang w:val="en-GB"/>
        </w:rPr>
      </w:pPr>
      <w:r>
        <w:rPr>
          <w:lang w:val="en-US"/>
        </w:rPr>
        <w:t xml:space="preserve">On the other hand, OAED through Individual Action Plans implements individualized interventions that offer </w:t>
      </w:r>
      <w:r>
        <w:rPr>
          <w:lang w:val="en-GB"/>
        </w:rPr>
        <w:t>to the young person access to a full scale of activities and acts within the framework of active employment policies (e.g. guiding, pre-training, training, employment, subsidized or not, Accompanying Support Services etc.), or direct placement in a vacant working position.</w:t>
      </w:r>
    </w:p>
    <w:p w:rsidR="007170DD" w:rsidRDefault="007170DD">
      <w:pPr>
        <w:ind w:right="26"/>
        <w:jc w:val="both"/>
        <w:rPr>
          <w:lang w:val="en-US"/>
        </w:rPr>
      </w:pPr>
    </w:p>
    <w:p w:rsidR="00822681" w:rsidRDefault="00822681" w:rsidP="00C03113">
      <w:pPr>
        <w:numPr>
          <w:ilvl w:val="0"/>
          <w:numId w:val="43"/>
        </w:numPr>
        <w:ind w:right="26"/>
        <w:jc w:val="both"/>
        <w:rPr>
          <w:lang w:val="en-GB"/>
        </w:rPr>
      </w:pPr>
      <w:r>
        <w:rPr>
          <w:lang w:val="en-GB"/>
        </w:rPr>
        <w:t xml:space="preserve">In addition, OAED concludes contracts of active employment policies to other certified agents, coming from the public and private sector of economy, local government, university education, the non-governmental organizations etc. </w:t>
      </w:r>
    </w:p>
    <w:p w:rsidR="00822681" w:rsidRDefault="00822681">
      <w:pPr>
        <w:ind w:right="26"/>
        <w:jc w:val="both"/>
        <w:rPr>
          <w:lang w:val="en-GB"/>
        </w:rPr>
      </w:pPr>
    </w:p>
    <w:p w:rsidR="00822681" w:rsidRDefault="00822681" w:rsidP="00C03113">
      <w:pPr>
        <w:numPr>
          <w:ilvl w:val="0"/>
          <w:numId w:val="43"/>
        </w:numPr>
        <w:ind w:right="26"/>
        <w:jc w:val="both"/>
        <w:rPr>
          <w:bCs/>
          <w:lang w:val="en-US"/>
        </w:rPr>
      </w:pPr>
      <w:r>
        <w:rPr>
          <w:lang w:val="en-GB"/>
        </w:rPr>
        <w:lastRenderedPageBreak/>
        <w:t xml:space="preserve">Through the Operational Program “Human Resources Development” 2007-2013, and as regards the improvement of matching of labour supply and demand, a number of activities took place in order to promote systemic interventions. </w:t>
      </w:r>
    </w:p>
    <w:p w:rsidR="00822681" w:rsidRDefault="00822681">
      <w:pPr>
        <w:ind w:right="26"/>
        <w:jc w:val="both"/>
        <w:rPr>
          <w:lang w:val="en-GB"/>
        </w:rPr>
      </w:pPr>
    </w:p>
    <w:p w:rsidR="008A4122" w:rsidRDefault="00822681" w:rsidP="00C03113">
      <w:pPr>
        <w:numPr>
          <w:ilvl w:val="0"/>
          <w:numId w:val="43"/>
        </w:numPr>
        <w:ind w:right="26"/>
        <w:jc w:val="both"/>
        <w:rPr>
          <w:lang w:val="en-GB"/>
        </w:rPr>
      </w:pPr>
      <w:r>
        <w:rPr>
          <w:lang w:val="en-GB"/>
        </w:rPr>
        <w:t xml:space="preserve">The General Secretariat for Youth, in its effort to respond to the challenges and demands of today, and also to the effort of young persons to enter the production process by setting up their own business, instituted the “Young Entrepreneurship Guichets”. </w:t>
      </w:r>
    </w:p>
    <w:p w:rsidR="00822681" w:rsidRDefault="00822681">
      <w:pPr>
        <w:ind w:right="26"/>
        <w:jc w:val="both"/>
        <w:rPr>
          <w:lang w:val="en-GB"/>
        </w:rPr>
      </w:pPr>
    </w:p>
    <w:p w:rsidR="00822681" w:rsidRDefault="00822681" w:rsidP="00555E51">
      <w:pPr>
        <w:ind w:right="26"/>
        <w:jc w:val="both"/>
        <w:rPr>
          <w:szCs w:val="25"/>
          <w:u w:val="single"/>
          <w:lang w:val="en-US"/>
        </w:rPr>
      </w:pPr>
      <w:r>
        <w:rPr>
          <w:szCs w:val="25"/>
          <w:u w:val="single"/>
          <w:lang w:val="en-US"/>
        </w:rPr>
        <w:t>Policies and measures aiming at full-time employment</w:t>
      </w:r>
    </w:p>
    <w:p w:rsidR="007170DD" w:rsidRDefault="007170DD">
      <w:pPr>
        <w:ind w:right="26"/>
        <w:jc w:val="both"/>
        <w:rPr>
          <w:szCs w:val="25"/>
          <w:lang w:val="en-GB"/>
        </w:rPr>
      </w:pPr>
    </w:p>
    <w:p w:rsidR="00822681" w:rsidRDefault="007170DD" w:rsidP="00C03113">
      <w:pPr>
        <w:numPr>
          <w:ilvl w:val="0"/>
          <w:numId w:val="43"/>
        </w:numPr>
        <w:ind w:right="26"/>
        <w:jc w:val="both"/>
        <w:rPr>
          <w:szCs w:val="25"/>
          <w:lang w:val="en-GB"/>
        </w:rPr>
      </w:pPr>
      <w:r>
        <w:rPr>
          <w:szCs w:val="25"/>
          <w:lang w:val="en-GB"/>
        </w:rPr>
        <w:t xml:space="preserve">OAED </w:t>
      </w:r>
      <w:r w:rsidR="00822681">
        <w:rPr>
          <w:szCs w:val="25"/>
          <w:lang w:val="en-GB"/>
        </w:rPr>
        <w:t>implements a series of programs for enhancing employment and combating unemployment (training programmes, work experience acquisition programmes,  programmes for the subsidy of unemployed persons so they can start their business activity, programs for subsiding enterprises for employing unemployed persons)</w:t>
      </w:r>
    </w:p>
    <w:p w:rsidR="00822681" w:rsidRDefault="00822681">
      <w:pPr>
        <w:ind w:right="26"/>
        <w:jc w:val="both"/>
        <w:rPr>
          <w:szCs w:val="25"/>
          <w:lang w:val="en-GB"/>
        </w:rPr>
      </w:pPr>
    </w:p>
    <w:p w:rsidR="00822681" w:rsidRDefault="00822681" w:rsidP="00555E51">
      <w:pPr>
        <w:ind w:right="26"/>
        <w:jc w:val="both"/>
        <w:rPr>
          <w:i/>
          <w:szCs w:val="25"/>
          <w:lang w:val="en-US"/>
        </w:rPr>
      </w:pPr>
      <w:r>
        <w:rPr>
          <w:i/>
          <w:szCs w:val="25"/>
          <w:lang w:val="en-US"/>
        </w:rPr>
        <w:t>Programmes for the subsidization of social security contributions</w:t>
      </w:r>
    </w:p>
    <w:p w:rsidR="00822681" w:rsidRDefault="00822681" w:rsidP="00C03113">
      <w:pPr>
        <w:numPr>
          <w:ilvl w:val="0"/>
          <w:numId w:val="43"/>
        </w:numPr>
        <w:ind w:right="26"/>
        <w:jc w:val="both"/>
        <w:rPr>
          <w:szCs w:val="25"/>
          <w:lang w:val="en-US"/>
        </w:rPr>
      </w:pPr>
      <w:r>
        <w:rPr>
          <w:szCs w:val="25"/>
          <w:lang w:val="en-US"/>
        </w:rPr>
        <w:t>The Ministry of Labour and Social Security, with a view to preventing the impact of the crisis on employment, is implementing a series of programmes through the subsidization of the social security contributions for unemployed persons for a period up to four years.</w:t>
      </w:r>
      <w:r w:rsidR="007170DD">
        <w:rPr>
          <w:szCs w:val="25"/>
          <w:lang w:val="en-US"/>
        </w:rPr>
        <w:t xml:space="preserve"> </w:t>
      </w:r>
      <w:r>
        <w:rPr>
          <w:szCs w:val="25"/>
          <w:lang w:val="en-US"/>
        </w:rPr>
        <w:t>In the drawing up of these programmes, special care has been taken for social groups that are vulnerable with respect to the labour market, such as young persons up to 30 years, unemployed persons close to retirement, long-term unemployed women over the age of 45 and unemployed women over the age of 50 etc</w:t>
      </w:r>
    </w:p>
    <w:p w:rsidR="00AC1EA1" w:rsidRPr="00AC1EA1" w:rsidRDefault="00AC1EA1" w:rsidP="00AC1EA1">
      <w:pPr>
        <w:rPr>
          <w:lang w:val="en-US"/>
        </w:rPr>
      </w:pPr>
    </w:p>
    <w:p w:rsidR="00822681" w:rsidRDefault="00822681" w:rsidP="00555E51">
      <w:pPr>
        <w:pStyle w:val="Heading2"/>
      </w:pPr>
      <w:r>
        <w:t>Cheque for the reintegration in the labour market</w:t>
      </w:r>
    </w:p>
    <w:p w:rsidR="00822681" w:rsidRDefault="00822681" w:rsidP="00C03113">
      <w:pPr>
        <w:numPr>
          <w:ilvl w:val="0"/>
          <w:numId w:val="43"/>
        </w:numPr>
        <w:ind w:right="26"/>
        <w:jc w:val="both"/>
        <w:rPr>
          <w:szCs w:val="25"/>
          <w:lang w:val="en-US"/>
        </w:rPr>
      </w:pPr>
      <w:r>
        <w:rPr>
          <w:szCs w:val="25"/>
          <w:lang w:val="en-US"/>
        </w:rPr>
        <w:t xml:space="preserve">In accordance with the provisions of </w:t>
      </w:r>
      <w:r w:rsidR="007170DD">
        <w:rPr>
          <w:szCs w:val="25"/>
          <w:lang w:val="en-US"/>
        </w:rPr>
        <w:t xml:space="preserve">article 2 (2) of Law </w:t>
      </w:r>
      <w:r>
        <w:rPr>
          <w:szCs w:val="25"/>
          <w:lang w:val="en-US"/>
        </w:rPr>
        <w:t xml:space="preserve">3845/2010 on “Measures for the implementation of the support mechanism for the Greek Economy by the Eurozone member states and the International Monetary Fund”, it is provided for that each subsidized unemployed person is entitled to a “reintegration cheque” for his/ her reintegration in the labour market, whose value in money is equal to the total amount he/she is entitled to receive as unemployment benefit. </w:t>
      </w:r>
    </w:p>
    <w:p w:rsidR="00822681" w:rsidRDefault="00822681">
      <w:pPr>
        <w:ind w:right="26"/>
        <w:jc w:val="both"/>
        <w:rPr>
          <w:szCs w:val="25"/>
          <w:lang w:val="en-US"/>
        </w:rPr>
      </w:pPr>
    </w:p>
    <w:p w:rsidR="00822681" w:rsidRDefault="00822681" w:rsidP="00C03113">
      <w:pPr>
        <w:numPr>
          <w:ilvl w:val="0"/>
          <w:numId w:val="43"/>
        </w:numPr>
        <w:ind w:right="26"/>
        <w:jc w:val="both"/>
        <w:rPr>
          <w:szCs w:val="25"/>
          <w:lang w:val="en-US"/>
        </w:rPr>
      </w:pPr>
      <w:r>
        <w:rPr>
          <w:szCs w:val="25"/>
          <w:lang w:val="en-US"/>
        </w:rPr>
        <w:t xml:space="preserve">The aim of this provision is to convert the “passive” unemployment benefit into an active labour market policy. According to the said provision, the undertaking hires the subsidized unemployed person and receives the “cheque’s” monetary value as a monthly subsidization by the OAED for the months remaining until the end of the subsidization. </w:t>
      </w:r>
    </w:p>
    <w:p w:rsidR="00822681" w:rsidRDefault="00822681">
      <w:pPr>
        <w:ind w:right="26"/>
        <w:jc w:val="both"/>
        <w:rPr>
          <w:lang w:val="en-US"/>
        </w:rPr>
      </w:pPr>
    </w:p>
    <w:p w:rsidR="00822681" w:rsidRDefault="00822681" w:rsidP="00555E51">
      <w:pPr>
        <w:pStyle w:val="Heading2"/>
        <w:tabs>
          <w:tab w:val="left" w:pos="5760"/>
          <w:tab w:val="left" w:pos="7020"/>
        </w:tabs>
        <w:rPr>
          <w:rFonts w:eastAsia="Batang"/>
          <w:bCs/>
          <w:szCs w:val="24"/>
        </w:rPr>
      </w:pPr>
      <w:r>
        <w:rPr>
          <w:rFonts w:eastAsia="Batang"/>
          <w:bCs/>
          <w:szCs w:val="24"/>
        </w:rPr>
        <w:t>Private Employment Services</w:t>
      </w:r>
    </w:p>
    <w:p w:rsidR="001E3940" w:rsidRDefault="00822681" w:rsidP="00C03113">
      <w:pPr>
        <w:numPr>
          <w:ilvl w:val="0"/>
          <w:numId w:val="43"/>
        </w:numPr>
        <w:jc w:val="both"/>
        <w:rPr>
          <w:lang w:val="en-GB"/>
        </w:rPr>
      </w:pPr>
      <w:r>
        <w:rPr>
          <w:rFonts w:eastAsia="Batang"/>
          <w:lang w:val="en-GB"/>
        </w:rPr>
        <w:t xml:space="preserve">Private Employment Services also contribute to the increase of employment. In Greece there are two categories of private Employment Services active, namely </w:t>
      </w:r>
      <w:r>
        <w:rPr>
          <w:bCs/>
          <w:lang w:val="en-GB"/>
        </w:rPr>
        <w:t>Temporary Employment Agencies (E.P.A.) and Private Employment Counselling Offices (I.G.S.E.),</w:t>
      </w:r>
      <w:r>
        <w:rPr>
          <w:lang w:val="en-GB"/>
        </w:rPr>
        <w:t xml:space="preserve"> which concern private businesses and provide their services free of charge to those seeking employment. The Ministry of Labour and Social Security is responsible for the supervision as regards their activities.</w:t>
      </w:r>
      <w:r w:rsidR="00B86EA2" w:rsidRPr="00B86EA2">
        <w:rPr>
          <w:lang w:val="en-GB"/>
        </w:rPr>
        <w:t xml:space="preserve"> </w:t>
      </w:r>
    </w:p>
    <w:p w:rsidR="00555E51" w:rsidRPr="00555E51" w:rsidRDefault="00555E51" w:rsidP="00C03113">
      <w:pPr>
        <w:numPr>
          <w:ilvl w:val="0"/>
          <w:numId w:val="43"/>
        </w:numPr>
        <w:jc w:val="both"/>
        <w:rPr>
          <w:lang w:val="en-GB"/>
        </w:rPr>
      </w:pPr>
      <w:r>
        <w:rPr>
          <w:lang w:val="en-GB"/>
        </w:rPr>
        <w:t>Since 2/07/2011</w:t>
      </w:r>
      <w:r w:rsidRPr="00EC6470">
        <w:rPr>
          <w:lang w:val="en-GB"/>
        </w:rPr>
        <w:t xml:space="preserve">, </w:t>
      </w:r>
      <w:r>
        <w:rPr>
          <w:lang w:val="en-GB"/>
        </w:rPr>
        <w:t>by virtue of</w:t>
      </w:r>
      <w:r w:rsidRPr="00EC6470">
        <w:rPr>
          <w:bCs/>
          <w:lang w:val="en-GB"/>
        </w:rPr>
        <w:t xml:space="preserve"> law 3919/2011 </w:t>
      </w:r>
      <w:r>
        <w:rPr>
          <w:bCs/>
          <w:lang w:val="en-GB"/>
        </w:rPr>
        <w:t>on</w:t>
      </w:r>
      <w:r w:rsidRPr="00EC6470">
        <w:rPr>
          <w:bCs/>
          <w:lang w:val="en-GB"/>
        </w:rPr>
        <w:t xml:space="preserve"> “</w:t>
      </w:r>
      <w:r w:rsidRPr="005262A5">
        <w:rPr>
          <w:bCs/>
          <w:i/>
          <w:lang w:val="en-GB"/>
        </w:rPr>
        <w:t xml:space="preserve">freedom </w:t>
      </w:r>
      <w:r>
        <w:rPr>
          <w:bCs/>
          <w:i/>
          <w:lang w:val="en-GB"/>
        </w:rPr>
        <w:t>of</w:t>
      </w:r>
      <w:r w:rsidRPr="005262A5">
        <w:rPr>
          <w:bCs/>
          <w:i/>
          <w:lang w:val="en-GB"/>
        </w:rPr>
        <w:t xml:space="preserve"> practicing professions and abolishment of unjustified constraints in accessing and practicing a </w:t>
      </w:r>
      <w:r w:rsidRPr="005262A5">
        <w:rPr>
          <w:bCs/>
          <w:i/>
          <w:lang w:val="en-GB"/>
        </w:rPr>
        <w:lastRenderedPageBreak/>
        <w:t>profession</w:t>
      </w:r>
      <w:r w:rsidRPr="00EC6470">
        <w:rPr>
          <w:bCs/>
          <w:lang w:val="en-GB"/>
        </w:rPr>
        <w:t xml:space="preserve">” </w:t>
      </w:r>
      <w:r w:rsidRPr="001E29EB">
        <w:rPr>
          <w:b/>
          <w:bCs/>
          <w:lang w:val="en-GB"/>
        </w:rPr>
        <w:t xml:space="preserve">the administrative license that was issued for the operation of a private employment agency </w:t>
      </w:r>
      <w:r>
        <w:rPr>
          <w:b/>
          <w:bCs/>
          <w:lang w:val="en-GB"/>
        </w:rPr>
        <w:t>has been</w:t>
      </w:r>
      <w:r w:rsidRPr="001E29EB">
        <w:rPr>
          <w:b/>
          <w:bCs/>
          <w:lang w:val="en-GB"/>
        </w:rPr>
        <w:t xml:space="preserve"> abolished</w:t>
      </w:r>
      <w:r w:rsidRPr="00EC6470">
        <w:rPr>
          <w:bCs/>
          <w:lang w:val="en-GB"/>
        </w:rPr>
        <w:t xml:space="preserve">. </w:t>
      </w:r>
      <w:r>
        <w:rPr>
          <w:bCs/>
          <w:lang w:val="en-GB"/>
        </w:rPr>
        <w:t>Nevertheless in both cases (IGSE &amp; EPA) the public administration still examines if the applicant fulfils the necessary requirements.</w:t>
      </w:r>
    </w:p>
    <w:p w:rsidR="00555E51" w:rsidRDefault="00555E51" w:rsidP="00555E51">
      <w:pPr>
        <w:numPr>
          <w:ilvl w:val="0"/>
          <w:numId w:val="43"/>
        </w:numPr>
        <w:jc w:val="both"/>
        <w:rPr>
          <w:lang w:val="en-GB"/>
        </w:rPr>
      </w:pPr>
      <w:r>
        <w:rPr>
          <w:lang w:val="en-US"/>
        </w:rPr>
        <w:t>Article 3 of Law 3846/2010, “Guarantees for safety at work and other provisions” stipulates that temporary employment is allowed only on the grounds of temporary, special and seasonal needs and that this form of employment is not allowed under normal circumstances in order to cover fixed and permanent needs of the enterprise. Equal treatment in working conditions with the respective employees of the indirect employer is safeguarded.</w:t>
      </w:r>
    </w:p>
    <w:p w:rsidR="00D82C32" w:rsidRDefault="00D82C32" w:rsidP="00555E51">
      <w:pPr>
        <w:widowControl w:val="0"/>
        <w:tabs>
          <w:tab w:val="left" w:pos="8280"/>
        </w:tabs>
        <w:ind w:right="26"/>
        <w:jc w:val="both"/>
        <w:rPr>
          <w:u w:val="single"/>
          <w:lang w:val="en-GB"/>
        </w:rPr>
      </w:pPr>
    </w:p>
    <w:p w:rsidR="00822681" w:rsidRDefault="00822681">
      <w:pPr>
        <w:ind w:right="26"/>
        <w:jc w:val="center"/>
        <w:rPr>
          <w:b/>
          <w:lang w:val="en-US"/>
        </w:rPr>
      </w:pPr>
      <w:r>
        <w:rPr>
          <w:b/>
          <w:lang w:val="en-US"/>
        </w:rPr>
        <w:t>ARTICLE  7</w:t>
      </w:r>
    </w:p>
    <w:p w:rsidR="00822681" w:rsidRDefault="00822681">
      <w:pPr>
        <w:ind w:right="26"/>
        <w:jc w:val="both"/>
        <w:rPr>
          <w:szCs w:val="25"/>
          <w:lang w:val="en-GB"/>
        </w:rPr>
      </w:pPr>
    </w:p>
    <w:p w:rsidR="00822681" w:rsidRDefault="00822681">
      <w:pPr>
        <w:ind w:right="26"/>
        <w:jc w:val="both"/>
        <w:rPr>
          <w:b/>
          <w:szCs w:val="25"/>
          <w:lang w:val="en-US"/>
        </w:rPr>
      </w:pPr>
      <w:r>
        <w:rPr>
          <w:b/>
          <w:szCs w:val="25"/>
          <w:lang w:val="en-US"/>
        </w:rPr>
        <w:t>Equal pay for work of equal value</w:t>
      </w:r>
    </w:p>
    <w:p w:rsidR="00555E51" w:rsidRDefault="00555E51">
      <w:pPr>
        <w:ind w:right="26"/>
        <w:jc w:val="both"/>
        <w:rPr>
          <w:szCs w:val="25"/>
          <w:lang w:val="en-GB"/>
        </w:rPr>
      </w:pPr>
    </w:p>
    <w:p w:rsidR="00822681" w:rsidRPr="0072350E" w:rsidRDefault="00555E51">
      <w:pPr>
        <w:ind w:right="26"/>
        <w:jc w:val="both"/>
        <w:rPr>
          <w:color w:val="FF0000"/>
          <w:lang w:val="en-GB"/>
        </w:rPr>
      </w:pPr>
      <w:r>
        <w:rPr>
          <w:szCs w:val="25"/>
          <w:lang w:val="en-GB"/>
        </w:rPr>
        <w:t>86.</w:t>
      </w:r>
      <w:r>
        <w:rPr>
          <w:szCs w:val="25"/>
          <w:lang w:val="en-GB"/>
        </w:rPr>
        <w:tab/>
      </w:r>
      <w:r w:rsidR="00822681">
        <w:rPr>
          <w:szCs w:val="25"/>
          <w:lang w:val="en-GB"/>
        </w:rPr>
        <w:t xml:space="preserve">There is a gap in salaries of men and women up to 10% in favour of the former. </w:t>
      </w:r>
      <w:r w:rsidR="00822681">
        <w:rPr>
          <w:szCs w:val="22"/>
          <w:lang w:val="en-GB"/>
        </w:rPr>
        <w:t xml:space="preserve">Women represent 41,6 of the total number of employees, 40,6% of permanent employees and 50% of those temporarily employed. As far as income disparities according to gender are concerned, 60% of the employees with a </w:t>
      </w:r>
      <w:r w:rsidR="00822681">
        <w:rPr>
          <w:bCs/>
          <w:szCs w:val="22"/>
          <w:lang w:val="en-GB"/>
        </w:rPr>
        <w:t>net monthly income</w:t>
      </w:r>
      <w:r w:rsidR="00822681">
        <w:rPr>
          <w:szCs w:val="22"/>
          <w:lang w:val="en-GB"/>
        </w:rPr>
        <w:t xml:space="preserve"> of less than </w:t>
      </w:r>
      <w:r w:rsidR="00822681">
        <w:rPr>
          <w:bCs/>
          <w:szCs w:val="22"/>
          <w:lang w:val="en-GB"/>
        </w:rPr>
        <w:t>750 euros</w:t>
      </w:r>
      <w:r w:rsidR="00822681">
        <w:rPr>
          <w:szCs w:val="22"/>
          <w:lang w:val="en-GB"/>
        </w:rPr>
        <w:t xml:space="preserve"> are women, permanently or temporarily employed. The percentage of women with a net monthly income of </w:t>
      </w:r>
      <w:r w:rsidR="00822681">
        <w:rPr>
          <w:bCs/>
          <w:szCs w:val="22"/>
          <w:lang w:val="en-GB"/>
        </w:rPr>
        <w:t>less than 500 euros</w:t>
      </w:r>
      <w:r w:rsidR="00822681">
        <w:rPr>
          <w:szCs w:val="22"/>
          <w:lang w:val="en-GB"/>
        </w:rPr>
        <w:t xml:space="preserve"> corresponds to 75% of the total number of employees, 70% of those fully employed and 80% of the employees partially employed. </w:t>
      </w:r>
    </w:p>
    <w:p w:rsidR="00822681" w:rsidRDefault="00822681">
      <w:pPr>
        <w:ind w:right="26"/>
        <w:jc w:val="both"/>
        <w:rPr>
          <w:szCs w:val="22"/>
          <w:lang w:val="en-GB"/>
        </w:rPr>
      </w:pPr>
    </w:p>
    <w:p w:rsidR="00822681" w:rsidRPr="00555E51" w:rsidRDefault="00555E51">
      <w:pPr>
        <w:ind w:right="26"/>
        <w:jc w:val="both"/>
        <w:rPr>
          <w:szCs w:val="22"/>
          <w:lang w:val="en-GB"/>
        </w:rPr>
      </w:pPr>
      <w:r>
        <w:rPr>
          <w:szCs w:val="22"/>
          <w:lang w:val="en-GB"/>
        </w:rPr>
        <w:t>87.</w:t>
      </w:r>
      <w:r>
        <w:rPr>
          <w:szCs w:val="22"/>
          <w:lang w:val="en-GB"/>
        </w:rPr>
        <w:tab/>
      </w:r>
      <w:r w:rsidR="00822681">
        <w:rPr>
          <w:szCs w:val="22"/>
          <w:lang w:val="en-GB"/>
        </w:rPr>
        <w:t xml:space="preserve">A </w:t>
      </w:r>
      <w:r w:rsidR="00822681">
        <w:rPr>
          <w:bCs/>
          <w:szCs w:val="22"/>
          <w:lang w:val="en-GB"/>
        </w:rPr>
        <w:t>net monthly income</w:t>
      </w:r>
      <w:r w:rsidR="00822681">
        <w:rPr>
          <w:szCs w:val="22"/>
          <w:lang w:val="en-GB"/>
        </w:rPr>
        <w:t xml:space="preserve"> less than 750 euros corresponds to 3 out of 10 working women 33,7% against 16,9 of men. Among the women working fully or permanently the proportion of women employed with a net monthly income less than 750 euros is reduced to 30% of women working fully or permanently. On the contrary, women partially employed with a net monthly income less than 750 euros correspond to 90% of women partially employed. As for women temporarily employed, the proportion of women working with a net monthly income less than 750 euros correspond to 2/3 of the total number of women working under a temporary work contract (67%).</w:t>
      </w:r>
      <w:r w:rsidR="00822681">
        <w:rPr>
          <w:bCs/>
          <w:szCs w:val="22"/>
          <w:lang w:val="en-GB"/>
        </w:rPr>
        <w:t>The majority of women with low net income work in the private sector (85%)</w:t>
      </w:r>
    </w:p>
    <w:p w:rsidR="00822681" w:rsidRDefault="00822681">
      <w:pPr>
        <w:ind w:right="26"/>
        <w:jc w:val="both"/>
        <w:rPr>
          <w:i/>
          <w:color w:val="FF0000"/>
          <w:lang w:val="en-GB"/>
        </w:rPr>
      </w:pPr>
    </w:p>
    <w:p w:rsidR="00822681" w:rsidRDefault="00822681">
      <w:pPr>
        <w:ind w:right="26"/>
        <w:jc w:val="both"/>
        <w:rPr>
          <w:i/>
          <w:szCs w:val="25"/>
          <w:lang w:val="en-GB"/>
        </w:rPr>
      </w:pPr>
      <w:r>
        <w:rPr>
          <w:i/>
          <w:szCs w:val="25"/>
          <w:lang w:val="en-GB"/>
        </w:rPr>
        <w:t>Table: Difference between the average gross hourly pay to men and the corresponding pay to women as a percentage of the average gross hourly pay to men (for salaried workers)</w:t>
      </w:r>
    </w:p>
    <w:tbl>
      <w:tblPr>
        <w:tblW w:w="7725" w:type="dxa"/>
        <w:tblLook w:val="0000"/>
      </w:tblPr>
      <w:tblGrid>
        <w:gridCol w:w="1005"/>
        <w:gridCol w:w="960"/>
        <w:gridCol w:w="960"/>
        <w:gridCol w:w="960"/>
        <w:gridCol w:w="960"/>
        <w:gridCol w:w="960"/>
        <w:gridCol w:w="960"/>
        <w:gridCol w:w="960"/>
      </w:tblGrid>
      <w:tr w:rsidR="00822681">
        <w:trPr>
          <w:trHeight w:val="315"/>
        </w:trPr>
        <w:tc>
          <w:tcPr>
            <w:tcW w:w="1005" w:type="dxa"/>
            <w:tcBorders>
              <w:top w:val="single" w:sz="4" w:space="0" w:color="auto"/>
              <w:left w:val="single" w:sz="4" w:space="0" w:color="auto"/>
              <w:bottom w:val="single" w:sz="4" w:space="0" w:color="auto"/>
              <w:right w:val="single" w:sz="4" w:space="0" w:color="auto"/>
            </w:tcBorders>
            <w:noWrap/>
            <w:vAlign w:val="center"/>
          </w:tcPr>
          <w:p w:rsidR="00822681" w:rsidRDefault="00822681">
            <w:pPr>
              <w:ind w:right="26"/>
              <w:jc w:val="both"/>
              <w:rPr>
                <w:b/>
                <w:bCs/>
                <w:sz w:val="20"/>
                <w:lang w:val="en-GB"/>
              </w:rPr>
            </w:pPr>
            <w:r>
              <w:rPr>
                <w:b/>
                <w:bCs/>
                <w:sz w:val="20"/>
                <w:lang w:val="en-GB"/>
              </w:rPr>
              <w:t> </w:t>
            </w:r>
          </w:p>
        </w:tc>
        <w:tc>
          <w:tcPr>
            <w:tcW w:w="960" w:type="dxa"/>
            <w:tcBorders>
              <w:top w:val="single" w:sz="4" w:space="0" w:color="auto"/>
              <w:left w:val="nil"/>
              <w:bottom w:val="single" w:sz="4" w:space="0" w:color="auto"/>
              <w:right w:val="single" w:sz="4" w:space="0" w:color="auto"/>
            </w:tcBorders>
            <w:noWrap/>
            <w:vAlign w:val="center"/>
          </w:tcPr>
          <w:p w:rsidR="00822681" w:rsidRDefault="00822681">
            <w:pPr>
              <w:ind w:right="26"/>
              <w:jc w:val="both"/>
              <w:rPr>
                <w:b/>
                <w:bCs/>
                <w:sz w:val="20"/>
                <w:lang w:val="en-GB"/>
              </w:rPr>
            </w:pPr>
            <w:r>
              <w:rPr>
                <w:b/>
                <w:bCs/>
                <w:sz w:val="20"/>
                <w:lang w:val="en-GB"/>
              </w:rPr>
              <w:t>2000</w:t>
            </w:r>
          </w:p>
        </w:tc>
        <w:tc>
          <w:tcPr>
            <w:tcW w:w="960" w:type="dxa"/>
            <w:tcBorders>
              <w:top w:val="single" w:sz="4" w:space="0" w:color="auto"/>
              <w:left w:val="nil"/>
              <w:bottom w:val="single" w:sz="4" w:space="0" w:color="auto"/>
              <w:right w:val="single" w:sz="4" w:space="0" w:color="auto"/>
            </w:tcBorders>
            <w:noWrap/>
            <w:vAlign w:val="center"/>
          </w:tcPr>
          <w:p w:rsidR="00822681" w:rsidRDefault="00822681">
            <w:pPr>
              <w:ind w:right="26"/>
              <w:jc w:val="both"/>
              <w:rPr>
                <w:b/>
                <w:bCs/>
                <w:sz w:val="20"/>
                <w:lang w:val="en-GB"/>
              </w:rPr>
            </w:pPr>
            <w:r>
              <w:rPr>
                <w:b/>
                <w:bCs/>
                <w:sz w:val="20"/>
                <w:lang w:val="en-GB"/>
              </w:rPr>
              <w:t>2001</w:t>
            </w:r>
          </w:p>
        </w:tc>
        <w:tc>
          <w:tcPr>
            <w:tcW w:w="960" w:type="dxa"/>
            <w:tcBorders>
              <w:top w:val="single" w:sz="4" w:space="0" w:color="auto"/>
              <w:left w:val="nil"/>
              <w:bottom w:val="single" w:sz="4" w:space="0" w:color="auto"/>
              <w:right w:val="single" w:sz="4" w:space="0" w:color="auto"/>
            </w:tcBorders>
            <w:noWrap/>
            <w:vAlign w:val="center"/>
          </w:tcPr>
          <w:p w:rsidR="00822681" w:rsidRDefault="00822681">
            <w:pPr>
              <w:ind w:right="26"/>
              <w:jc w:val="both"/>
              <w:rPr>
                <w:b/>
                <w:bCs/>
                <w:sz w:val="20"/>
                <w:lang w:val="en-GB"/>
              </w:rPr>
            </w:pPr>
            <w:r>
              <w:rPr>
                <w:b/>
                <w:bCs/>
                <w:sz w:val="20"/>
                <w:lang w:val="en-GB"/>
              </w:rPr>
              <w:t>2002</w:t>
            </w:r>
          </w:p>
        </w:tc>
        <w:tc>
          <w:tcPr>
            <w:tcW w:w="960" w:type="dxa"/>
            <w:tcBorders>
              <w:top w:val="single" w:sz="4" w:space="0" w:color="auto"/>
              <w:left w:val="nil"/>
              <w:bottom w:val="single" w:sz="4" w:space="0" w:color="auto"/>
              <w:right w:val="single" w:sz="4" w:space="0" w:color="auto"/>
            </w:tcBorders>
            <w:noWrap/>
            <w:vAlign w:val="center"/>
          </w:tcPr>
          <w:p w:rsidR="00822681" w:rsidRDefault="00822681">
            <w:pPr>
              <w:ind w:right="26"/>
              <w:jc w:val="both"/>
              <w:rPr>
                <w:b/>
                <w:bCs/>
                <w:sz w:val="20"/>
                <w:lang w:val="en-GB"/>
              </w:rPr>
            </w:pPr>
            <w:r>
              <w:rPr>
                <w:b/>
                <w:bCs/>
                <w:sz w:val="20"/>
                <w:lang w:val="en-GB"/>
              </w:rPr>
              <w:t>2003</w:t>
            </w:r>
          </w:p>
        </w:tc>
        <w:tc>
          <w:tcPr>
            <w:tcW w:w="960" w:type="dxa"/>
            <w:tcBorders>
              <w:top w:val="single" w:sz="4" w:space="0" w:color="auto"/>
              <w:left w:val="nil"/>
              <w:bottom w:val="single" w:sz="4" w:space="0" w:color="auto"/>
              <w:right w:val="single" w:sz="4" w:space="0" w:color="auto"/>
            </w:tcBorders>
            <w:noWrap/>
            <w:vAlign w:val="center"/>
          </w:tcPr>
          <w:p w:rsidR="00822681" w:rsidRDefault="00822681">
            <w:pPr>
              <w:ind w:right="26"/>
              <w:jc w:val="both"/>
              <w:rPr>
                <w:b/>
                <w:bCs/>
                <w:sz w:val="20"/>
                <w:lang w:val="en-GB"/>
              </w:rPr>
            </w:pPr>
            <w:r>
              <w:rPr>
                <w:b/>
                <w:bCs/>
                <w:sz w:val="20"/>
                <w:lang w:val="en-GB"/>
              </w:rPr>
              <w:t>2004</w:t>
            </w:r>
          </w:p>
        </w:tc>
        <w:tc>
          <w:tcPr>
            <w:tcW w:w="960" w:type="dxa"/>
            <w:tcBorders>
              <w:top w:val="single" w:sz="4" w:space="0" w:color="auto"/>
              <w:left w:val="nil"/>
              <w:bottom w:val="single" w:sz="4" w:space="0" w:color="auto"/>
              <w:right w:val="single" w:sz="4" w:space="0" w:color="auto"/>
            </w:tcBorders>
            <w:noWrap/>
            <w:vAlign w:val="center"/>
          </w:tcPr>
          <w:p w:rsidR="00822681" w:rsidRDefault="00822681">
            <w:pPr>
              <w:ind w:right="26"/>
              <w:jc w:val="both"/>
              <w:rPr>
                <w:b/>
                <w:bCs/>
                <w:sz w:val="20"/>
                <w:lang w:val="en-GB"/>
              </w:rPr>
            </w:pPr>
            <w:r>
              <w:rPr>
                <w:b/>
                <w:bCs/>
                <w:sz w:val="20"/>
                <w:lang w:val="en-GB"/>
              </w:rPr>
              <w:t>2005</w:t>
            </w:r>
          </w:p>
        </w:tc>
        <w:tc>
          <w:tcPr>
            <w:tcW w:w="960" w:type="dxa"/>
            <w:tcBorders>
              <w:top w:val="single" w:sz="4" w:space="0" w:color="auto"/>
              <w:left w:val="nil"/>
              <w:bottom w:val="single" w:sz="4" w:space="0" w:color="auto"/>
              <w:right w:val="single" w:sz="4" w:space="0" w:color="auto"/>
            </w:tcBorders>
            <w:noWrap/>
            <w:vAlign w:val="center"/>
          </w:tcPr>
          <w:p w:rsidR="00822681" w:rsidRDefault="00822681">
            <w:pPr>
              <w:ind w:right="26"/>
              <w:jc w:val="both"/>
              <w:rPr>
                <w:b/>
                <w:bCs/>
                <w:sz w:val="20"/>
                <w:lang w:val="en-GB"/>
              </w:rPr>
            </w:pPr>
            <w:r>
              <w:rPr>
                <w:b/>
                <w:bCs/>
                <w:sz w:val="20"/>
                <w:lang w:val="en-GB"/>
              </w:rPr>
              <w:t>2006</w:t>
            </w:r>
          </w:p>
        </w:tc>
      </w:tr>
      <w:tr w:rsidR="00822681">
        <w:trPr>
          <w:trHeight w:val="315"/>
        </w:trPr>
        <w:tc>
          <w:tcPr>
            <w:tcW w:w="1005" w:type="dxa"/>
            <w:tcBorders>
              <w:top w:val="nil"/>
              <w:left w:val="single" w:sz="4" w:space="0" w:color="auto"/>
              <w:bottom w:val="single" w:sz="4" w:space="0" w:color="auto"/>
              <w:right w:val="single" w:sz="4" w:space="0" w:color="auto"/>
            </w:tcBorders>
            <w:noWrap/>
            <w:vAlign w:val="bottom"/>
          </w:tcPr>
          <w:p w:rsidR="00822681" w:rsidRDefault="00822681">
            <w:pPr>
              <w:ind w:right="26"/>
              <w:jc w:val="both"/>
              <w:rPr>
                <w:b/>
                <w:bCs/>
                <w:sz w:val="20"/>
                <w:lang w:val="en-GB"/>
              </w:rPr>
            </w:pPr>
            <w:smartTag w:uri="urn:schemas-microsoft-com:office:smarttags" w:element="country-region">
              <w:smartTag w:uri="urn:schemas-microsoft-com:office:smarttags" w:element="place">
                <w:r>
                  <w:rPr>
                    <w:b/>
                    <w:bCs/>
                    <w:sz w:val="20"/>
                    <w:lang w:val="en-GB"/>
                  </w:rPr>
                  <w:t>Greece</w:t>
                </w:r>
              </w:smartTag>
            </w:smartTag>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15</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18</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17</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11</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10</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9 temp.</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10</w:t>
            </w:r>
          </w:p>
        </w:tc>
      </w:tr>
      <w:tr w:rsidR="00822681">
        <w:trPr>
          <w:trHeight w:val="315"/>
        </w:trPr>
        <w:tc>
          <w:tcPr>
            <w:tcW w:w="1005" w:type="dxa"/>
            <w:tcBorders>
              <w:top w:val="nil"/>
              <w:left w:val="single" w:sz="4" w:space="0" w:color="auto"/>
              <w:bottom w:val="single" w:sz="4" w:space="0" w:color="auto"/>
              <w:right w:val="single" w:sz="4" w:space="0" w:color="auto"/>
            </w:tcBorders>
            <w:noWrap/>
            <w:vAlign w:val="bottom"/>
          </w:tcPr>
          <w:p w:rsidR="00822681" w:rsidRDefault="00822681">
            <w:pPr>
              <w:ind w:right="26"/>
              <w:jc w:val="both"/>
              <w:rPr>
                <w:b/>
                <w:bCs/>
                <w:sz w:val="20"/>
                <w:lang w:val="en-GB"/>
              </w:rPr>
            </w:pPr>
            <w:r>
              <w:rPr>
                <w:b/>
                <w:bCs/>
                <w:sz w:val="20"/>
                <w:lang w:val="en-GB"/>
              </w:rPr>
              <w:t>EU-27</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16 *</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16 *</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16 *</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15 *</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15 *</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15 *</w:t>
            </w:r>
          </w:p>
        </w:tc>
        <w:tc>
          <w:tcPr>
            <w:tcW w:w="960" w:type="dxa"/>
            <w:tcBorders>
              <w:top w:val="nil"/>
              <w:left w:val="nil"/>
              <w:bottom w:val="single" w:sz="4" w:space="0" w:color="auto"/>
              <w:right w:val="single" w:sz="4" w:space="0" w:color="auto"/>
            </w:tcBorders>
            <w:noWrap/>
            <w:vAlign w:val="bottom"/>
          </w:tcPr>
          <w:p w:rsidR="00822681" w:rsidRDefault="00822681">
            <w:pPr>
              <w:ind w:right="26"/>
              <w:jc w:val="both"/>
              <w:rPr>
                <w:sz w:val="20"/>
                <w:lang w:val="en-GB"/>
              </w:rPr>
            </w:pPr>
            <w:r>
              <w:rPr>
                <w:sz w:val="20"/>
                <w:lang w:val="en-GB"/>
              </w:rPr>
              <w:t>15 *</w:t>
            </w:r>
          </w:p>
        </w:tc>
      </w:tr>
    </w:tbl>
    <w:p w:rsidR="00822681" w:rsidRDefault="00822681">
      <w:pPr>
        <w:ind w:right="26"/>
        <w:jc w:val="both"/>
        <w:rPr>
          <w:szCs w:val="22"/>
          <w:lang w:val="en-GB"/>
        </w:rPr>
      </w:pPr>
      <w:r>
        <w:rPr>
          <w:szCs w:val="22"/>
          <w:lang w:val="en-GB"/>
        </w:rPr>
        <w:t>*: estimate; td= temporary data</w:t>
      </w:r>
    </w:p>
    <w:p w:rsidR="00822681" w:rsidRDefault="00822681">
      <w:pPr>
        <w:ind w:right="26"/>
        <w:jc w:val="both"/>
        <w:rPr>
          <w:szCs w:val="22"/>
          <w:lang w:val="en-GB"/>
        </w:rPr>
      </w:pPr>
      <w:r>
        <w:rPr>
          <w:szCs w:val="22"/>
          <w:lang w:val="en-GB"/>
        </w:rPr>
        <w:t>Source: European Union</w:t>
      </w:r>
    </w:p>
    <w:p w:rsidR="00822681" w:rsidRDefault="00822681">
      <w:pPr>
        <w:ind w:right="26"/>
        <w:jc w:val="both"/>
        <w:rPr>
          <w:i/>
          <w:lang w:val="en-US"/>
        </w:rPr>
      </w:pPr>
      <w:r>
        <w:rPr>
          <w:lang w:val="en-US"/>
        </w:rPr>
        <w:t> </w:t>
      </w:r>
    </w:p>
    <w:p w:rsidR="00822681" w:rsidRDefault="00822681">
      <w:pPr>
        <w:widowControl w:val="0"/>
        <w:autoSpaceDE w:val="0"/>
        <w:autoSpaceDN w:val="0"/>
        <w:adjustRightInd w:val="0"/>
        <w:ind w:right="26"/>
        <w:jc w:val="both"/>
        <w:rPr>
          <w:i/>
          <w:sz w:val="16"/>
          <w:szCs w:val="16"/>
          <w:u w:val="single"/>
          <w:lang w:val="en-US"/>
        </w:rPr>
      </w:pPr>
      <w:r>
        <w:rPr>
          <w:u w:val="single"/>
          <w:lang w:val="en-US"/>
        </w:rPr>
        <w:t>Measures for the elimination of discrimination</w:t>
      </w:r>
      <w:r>
        <w:rPr>
          <w:i/>
          <w:sz w:val="16"/>
          <w:szCs w:val="16"/>
          <w:u w:val="single"/>
          <w:lang w:val="en-US"/>
        </w:rPr>
        <w:t xml:space="preserve">  </w:t>
      </w:r>
    </w:p>
    <w:p w:rsidR="00822681" w:rsidRPr="00555E51" w:rsidRDefault="00555E51">
      <w:pPr>
        <w:ind w:right="26"/>
        <w:jc w:val="both"/>
        <w:rPr>
          <w:szCs w:val="25"/>
          <w:lang w:val="en-GB"/>
        </w:rPr>
      </w:pPr>
      <w:r>
        <w:rPr>
          <w:lang w:val="en-GB"/>
        </w:rPr>
        <w:t>88.</w:t>
      </w:r>
      <w:r>
        <w:rPr>
          <w:lang w:val="en-GB"/>
        </w:rPr>
        <w:tab/>
      </w:r>
      <w:r w:rsidR="00822681">
        <w:rPr>
          <w:lang w:val="en-GB"/>
        </w:rPr>
        <w:t xml:space="preserve">By virtue of law 3896/2010 “Implementation of the principal of equal opportunities and equal treatment of men and women in work and employment issues”, Directive 2006/54/EC has been incorporated in Greek law. The purpose of the law is to create a comprehensive and clear legal framework for the implementation of the principle of equal treatment between men and women in work and employment issues, in the private as well as in the public sector. </w:t>
      </w:r>
      <w:r w:rsidR="00822681">
        <w:rPr>
          <w:lang w:val="en-US"/>
        </w:rPr>
        <w:t xml:space="preserve">As already </w:t>
      </w:r>
      <w:r w:rsidR="00822681">
        <w:rPr>
          <w:lang w:val="en-US"/>
        </w:rPr>
        <w:lastRenderedPageBreak/>
        <w:t>stressed, article 12 of the above Law stipulates expressly that the principle of equal treatment of men and women is implemented also in respect of the terms and conditions of work, promotions and personnel evaluation systems.</w:t>
      </w:r>
    </w:p>
    <w:p w:rsidR="0072350E" w:rsidRDefault="0072350E">
      <w:pPr>
        <w:ind w:right="26"/>
        <w:jc w:val="both"/>
        <w:rPr>
          <w:lang w:val="en-US"/>
        </w:rPr>
      </w:pPr>
    </w:p>
    <w:p w:rsidR="00822681" w:rsidRDefault="00555E51" w:rsidP="00555E51">
      <w:pPr>
        <w:tabs>
          <w:tab w:val="num" w:pos="0"/>
        </w:tabs>
        <w:ind w:right="26"/>
        <w:jc w:val="both"/>
        <w:rPr>
          <w:lang w:val="en-US"/>
        </w:rPr>
      </w:pPr>
      <w:r>
        <w:rPr>
          <w:lang w:val="en-US"/>
        </w:rPr>
        <w:t>89.</w:t>
      </w:r>
      <w:r>
        <w:rPr>
          <w:lang w:val="en-US"/>
        </w:rPr>
        <w:tab/>
      </w:r>
      <w:r w:rsidR="00822681">
        <w:rPr>
          <w:lang w:val="en-US"/>
        </w:rPr>
        <w:t>Moreover, by virtue of Law 3250/2004 on “Partial employment in the public sector, Local Authorities and Legal Entities”, among the personnel recruited are included: a) mothers with minor children in a percentage of 10% and b) parents with three children and more in a percentage of 10%. It is also provided that a percentage of 60% from the different categories of beneficiaries is covered by women, provided that a respective interest has been manifested.</w:t>
      </w:r>
    </w:p>
    <w:p w:rsidR="0072350E" w:rsidRDefault="0072350E">
      <w:pPr>
        <w:ind w:right="26"/>
        <w:jc w:val="both"/>
        <w:rPr>
          <w:lang w:val="en-US"/>
        </w:rPr>
      </w:pPr>
    </w:p>
    <w:p w:rsidR="00822681" w:rsidRDefault="00555E51">
      <w:pPr>
        <w:ind w:right="26"/>
        <w:jc w:val="both"/>
        <w:rPr>
          <w:szCs w:val="22"/>
          <w:lang w:val="en-US"/>
        </w:rPr>
      </w:pPr>
      <w:r>
        <w:rPr>
          <w:lang w:val="en-US"/>
        </w:rPr>
        <w:t>90.</w:t>
      </w:r>
      <w:r>
        <w:rPr>
          <w:lang w:val="en-US"/>
        </w:rPr>
        <w:tab/>
      </w:r>
      <w:r w:rsidR="0072350E">
        <w:rPr>
          <w:lang w:val="en-US"/>
        </w:rPr>
        <w:t>The Secretariat General for Gender E</w:t>
      </w:r>
      <w:r w:rsidR="00822681">
        <w:rPr>
          <w:lang w:val="en-US"/>
        </w:rPr>
        <w:t>quality</w:t>
      </w:r>
      <w:r w:rsidR="0072350E">
        <w:rPr>
          <w:lang w:val="en-US"/>
        </w:rPr>
        <w:t>,</w:t>
      </w:r>
      <w:r w:rsidR="00822681">
        <w:rPr>
          <w:lang w:val="en-US"/>
        </w:rPr>
        <w:t xml:space="preserve"> in order to combat discrimination in employment</w:t>
      </w:r>
      <w:r w:rsidR="0072350E">
        <w:rPr>
          <w:lang w:val="en-US"/>
        </w:rPr>
        <w:t>,</w:t>
      </w:r>
      <w:r w:rsidR="00822681">
        <w:rPr>
          <w:lang w:val="en-US"/>
        </w:rPr>
        <w:t xml:space="preserve"> launched “Positive Action in favour of women in small and medium enterprises as well as in large firms” of the Project “Employment and Professional Training” of the 3</w:t>
      </w:r>
      <w:r w:rsidR="00822681">
        <w:rPr>
          <w:vertAlign w:val="superscript"/>
          <w:lang w:val="en-US"/>
        </w:rPr>
        <w:t>rd</w:t>
      </w:r>
      <w:r w:rsidR="00822681">
        <w:rPr>
          <w:lang w:val="en-US"/>
        </w:rPr>
        <w:t xml:space="preserve"> Community Support Framework. Within this framework, financial incentives are given to enterprises for the continuous training of women, the covering of functional expenses of nurseries, reinforcement of telework, information and sensitization of all employees, extension of quality certification systems (ISO). </w:t>
      </w:r>
    </w:p>
    <w:p w:rsidR="00913D79" w:rsidRPr="001E3940" w:rsidRDefault="00913D79">
      <w:pPr>
        <w:ind w:right="26"/>
        <w:jc w:val="both"/>
        <w:rPr>
          <w:b/>
          <w:lang w:val="en-US"/>
        </w:rPr>
      </w:pPr>
    </w:p>
    <w:p w:rsidR="00822681" w:rsidRDefault="00822681">
      <w:pPr>
        <w:ind w:right="26"/>
        <w:jc w:val="both"/>
        <w:rPr>
          <w:b/>
          <w:szCs w:val="25"/>
          <w:lang w:val="en-US"/>
        </w:rPr>
      </w:pPr>
      <w:r>
        <w:rPr>
          <w:b/>
          <w:lang w:val="en-US"/>
        </w:rPr>
        <w:t>Measures to ensure safety and health at the workplace</w:t>
      </w:r>
    </w:p>
    <w:p w:rsidR="00822681" w:rsidRPr="0072350E" w:rsidRDefault="00555E51">
      <w:pPr>
        <w:ind w:right="26"/>
        <w:jc w:val="both"/>
        <w:rPr>
          <w:szCs w:val="25"/>
          <w:lang w:val="en-US"/>
        </w:rPr>
      </w:pPr>
      <w:r>
        <w:rPr>
          <w:szCs w:val="25"/>
          <w:lang w:val="en-US"/>
        </w:rPr>
        <w:t>91.</w:t>
      </w:r>
      <w:r>
        <w:rPr>
          <w:szCs w:val="25"/>
          <w:lang w:val="en-US"/>
        </w:rPr>
        <w:tab/>
      </w:r>
      <w:r w:rsidR="00822681">
        <w:rPr>
          <w:szCs w:val="25"/>
          <w:lang w:val="en-US"/>
        </w:rPr>
        <w:t xml:space="preserve">The national policy on issues of safety and health at work is based </w:t>
      </w:r>
      <w:r w:rsidR="00822681">
        <w:rPr>
          <w:lang w:val="en-US"/>
        </w:rPr>
        <w:t>on the tripartite rep</w:t>
      </w:r>
      <w:r w:rsidR="0072350E">
        <w:rPr>
          <w:lang w:val="en-US"/>
        </w:rPr>
        <w:t>resentation and social dialogue</w:t>
      </w:r>
      <w:r w:rsidR="00822681">
        <w:rPr>
          <w:lang w:val="en-US"/>
        </w:rPr>
        <w:t>. It is implemented through a national system of appropriate structures and processes that involves government bodies, employers’ and workers’ organizations, scientific and professional bodies, educational institutions, safety and health agencies.</w:t>
      </w:r>
      <w:r w:rsidR="00822681">
        <w:rPr>
          <w:szCs w:val="25"/>
          <w:lang w:val="en-US"/>
        </w:rPr>
        <w:t xml:space="preserve"> Our country harmonizes promptly its national law with the EU directives and strives to ratify the international labour conventions that include organizational and technical measures related to workers’ safety and health. As regards the content of the relevant laws, </w:t>
      </w:r>
      <w:r w:rsidR="00822681">
        <w:rPr>
          <w:lang w:val="en-US"/>
        </w:rPr>
        <w:t xml:space="preserve">there are numerous general regulations of a horizontal application, while at the same time there are many special laws regulating occupational safety and health issues in particular sectors of economic activity. </w:t>
      </w:r>
    </w:p>
    <w:p w:rsidR="00822681" w:rsidRDefault="00822681">
      <w:pPr>
        <w:ind w:right="26"/>
        <w:jc w:val="both"/>
        <w:rPr>
          <w:szCs w:val="25"/>
          <w:lang w:val="en-US"/>
        </w:rPr>
      </w:pPr>
    </w:p>
    <w:p w:rsidR="00822681" w:rsidRDefault="00555E51">
      <w:pPr>
        <w:ind w:right="26"/>
        <w:jc w:val="both"/>
        <w:rPr>
          <w:szCs w:val="25"/>
          <w:u w:val="single"/>
          <w:lang w:val="en-US"/>
        </w:rPr>
      </w:pPr>
      <w:r>
        <w:rPr>
          <w:szCs w:val="25"/>
          <w:lang w:val="en-US"/>
        </w:rPr>
        <w:t>92.</w:t>
      </w:r>
      <w:r>
        <w:rPr>
          <w:szCs w:val="25"/>
          <w:lang w:val="en-US"/>
        </w:rPr>
        <w:tab/>
      </w:r>
      <w:r w:rsidR="00822681">
        <w:rPr>
          <w:szCs w:val="25"/>
          <w:lang w:val="en-US"/>
        </w:rPr>
        <w:t xml:space="preserve">The </w:t>
      </w:r>
      <w:r w:rsidR="00822681">
        <w:rPr>
          <w:szCs w:val="25"/>
          <w:lang w:val="en-GB"/>
        </w:rPr>
        <w:t xml:space="preserve">Occupational Safety and Health </w:t>
      </w:r>
      <w:r w:rsidR="00822681">
        <w:rPr>
          <w:szCs w:val="25"/>
          <w:lang w:val="en-US"/>
        </w:rPr>
        <w:t xml:space="preserve">Inspectorate of the Labour Inspectorate undertakes actions for the improvement of health and safety conditions at workplaces and prevention of accidents and occupational diseases. </w:t>
      </w:r>
    </w:p>
    <w:p w:rsidR="00822681" w:rsidRDefault="00822681">
      <w:pPr>
        <w:pStyle w:val="BodyText2"/>
        <w:ind w:right="26"/>
        <w:jc w:val="both"/>
        <w:rPr>
          <w:rFonts w:ascii="Times New Roman" w:hAnsi="Times New Roman" w:cs="Times New Roman"/>
          <w:bCs/>
          <w:color w:val="auto"/>
          <w:lang w:val="en-US"/>
        </w:rPr>
      </w:pPr>
    </w:p>
    <w:p w:rsidR="00AC1EA1" w:rsidRDefault="00822681" w:rsidP="00AC1EA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26"/>
        <w:jc w:val="center"/>
        <w:rPr>
          <w:u w:val="single"/>
          <w:lang w:val="en-GB"/>
        </w:rPr>
      </w:pPr>
      <w:r w:rsidRPr="00AC1EA1">
        <w:rPr>
          <w:u w:val="single"/>
          <w:lang w:val="en-GB"/>
        </w:rPr>
        <w:t xml:space="preserve">Data on the activities of the Occupational Safety and Health Inspectorate </w:t>
      </w:r>
    </w:p>
    <w:p w:rsidR="00822681" w:rsidRPr="00AC1EA1" w:rsidRDefault="00822681" w:rsidP="00AC1EA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26"/>
        <w:jc w:val="center"/>
        <w:rPr>
          <w:u w:val="single"/>
          <w:lang w:val="en-GB"/>
        </w:rPr>
      </w:pPr>
      <w:r w:rsidRPr="00AC1EA1">
        <w:rPr>
          <w:u w:val="single"/>
          <w:lang w:val="en-GB"/>
        </w:rPr>
        <w:t xml:space="preserve">from 2004 to </w:t>
      </w:r>
      <w:r w:rsidR="00D046A1" w:rsidRPr="00AC1EA1">
        <w:rPr>
          <w:u w:val="single"/>
          <w:lang w:val="en-GB"/>
        </w:rPr>
        <w:t>2011</w:t>
      </w:r>
    </w:p>
    <w:tbl>
      <w:tblPr>
        <w:tblpPr w:leftFromText="180" w:rightFromText="180" w:vertAnchor="text" w:horzAnchor="margin" w:tblpXSpec="center" w:tblpY="199"/>
        <w:tblW w:w="1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197"/>
        <w:gridCol w:w="1201"/>
        <w:gridCol w:w="1201"/>
        <w:gridCol w:w="1206"/>
        <w:gridCol w:w="1195"/>
        <w:gridCol w:w="1195"/>
        <w:gridCol w:w="1195"/>
        <w:gridCol w:w="1195"/>
      </w:tblGrid>
      <w:tr w:rsidR="00D40BBD">
        <w:tc>
          <w:tcPr>
            <w:tcW w:w="1757" w:type="dxa"/>
            <w:vAlign w:val="bottom"/>
          </w:tcPr>
          <w:p w:rsidR="00D40BBD" w:rsidRPr="00D40BBD" w:rsidRDefault="00D40BBD">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 xml:space="preserve">Inspection activity </w:t>
            </w:r>
          </w:p>
        </w:tc>
        <w:tc>
          <w:tcPr>
            <w:tcW w:w="1197" w:type="dxa"/>
            <w:vAlign w:val="bottom"/>
          </w:tcPr>
          <w:p w:rsidR="00D40BBD" w:rsidRPr="00D40BBD" w:rsidRDefault="00D40BBD">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2004</w:t>
            </w:r>
          </w:p>
        </w:tc>
        <w:tc>
          <w:tcPr>
            <w:tcW w:w="1201" w:type="dxa"/>
            <w:vAlign w:val="bottom"/>
          </w:tcPr>
          <w:p w:rsidR="00D40BBD" w:rsidRPr="00D40BBD" w:rsidRDefault="00D40BBD">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2005</w:t>
            </w:r>
          </w:p>
        </w:tc>
        <w:tc>
          <w:tcPr>
            <w:tcW w:w="1201" w:type="dxa"/>
            <w:vAlign w:val="bottom"/>
          </w:tcPr>
          <w:p w:rsidR="00D40BBD" w:rsidRPr="00D40BBD" w:rsidRDefault="00D40BBD">
            <w:pPr>
              <w:ind w:right="26"/>
              <w:jc w:val="both"/>
              <w:rPr>
                <w:rFonts w:ascii="Arial" w:hAnsi="Arial" w:cs="Arial"/>
                <w:b/>
                <w:bCs/>
                <w:color w:val="FF0000"/>
                <w:sz w:val="16"/>
                <w:szCs w:val="16"/>
                <w:lang w:val="en-GB"/>
              </w:rPr>
            </w:pPr>
          </w:p>
          <w:p w:rsidR="00D40BBD" w:rsidRPr="00D40BBD" w:rsidRDefault="00D40BBD">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2006</w:t>
            </w:r>
          </w:p>
        </w:tc>
        <w:tc>
          <w:tcPr>
            <w:tcW w:w="1206" w:type="dxa"/>
            <w:vAlign w:val="bottom"/>
          </w:tcPr>
          <w:p w:rsidR="00D40BBD" w:rsidRPr="00D40BBD" w:rsidRDefault="00D40BBD">
            <w:pPr>
              <w:ind w:right="26"/>
              <w:jc w:val="both"/>
              <w:rPr>
                <w:rFonts w:ascii="Arial" w:hAnsi="Arial" w:cs="Arial"/>
                <w:b/>
                <w:bCs/>
                <w:color w:val="FF0000"/>
                <w:sz w:val="16"/>
                <w:szCs w:val="16"/>
                <w:lang w:val="en-GB"/>
              </w:rPr>
            </w:pPr>
          </w:p>
          <w:p w:rsidR="00D40BBD" w:rsidRPr="00D40BBD" w:rsidRDefault="00D40BBD">
            <w:pPr>
              <w:ind w:right="26"/>
              <w:jc w:val="both"/>
              <w:rPr>
                <w:rFonts w:ascii="Arial" w:hAnsi="Arial" w:cs="Arial"/>
                <w:b/>
                <w:bCs/>
                <w:color w:val="FF0000"/>
                <w:sz w:val="16"/>
                <w:szCs w:val="16"/>
                <w:lang w:val="en-GB"/>
              </w:rPr>
            </w:pPr>
          </w:p>
          <w:p w:rsidR="00D40BBD" w:rsidRPr="00D40BBD" w:rsidRDefault="00D40BBD">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2007</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b/>
                <w:bCs/>
                <w:color w:val="FF0000"/>
                <w:sz w:val="16"/>
                <w:szCs w:val="16"/>
                <w:lang w:val="en-GB"/>
              </w:rPr>
              <w:t>2008</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b/>
                <w:bCs/>
                <w:color w:val="FF0000"/>
                <w:sz w:val="16"/>
                <w:szCs w:val="16"/>
                <w:lang w:val="en-GB"/>
              </w:rPr>
              <w:t>2009</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US"/>
              </w:rPr>
            </w:pPr>
            <w:r w:rsidRPr="00D40BBD">
              <w:rPr>
                <w:rFonts w:ascii="Arial" w:hAnsi="Arial" w:cs="Arial"/>
                <w:b/>
                <w:bCs/>
                <w:color w:val="FF0000"/>
                <w:sz w:val="16"/>
                <w:szCs w:val="16"/>
                <w:lang w:val="en-GB"/>
              </w:rPr>
              <w:t>20</w:t>
            </w:r>
            <w:r w:rsidRPr="00D40BBD">
              <w:rPr>
                <w:rFonts w:ascii="Arial" w:hAnsi="Arial" w:cs="Arial"/>
                <w:b/>
                <w:bCs/>
                <w:color w:val="FF0000"/>
                <w:sz w:val="16"/>
                <w:szCs w:val="16"/>
                <w:lang w:val="en-US"/>
              </w:rPr>
              <w:t>10</w:t>
            </w:r>
          </w:p>
        </w:tc>
        <w:tc>
          <w:tcPr>
            <w:tcW w:w="1195" w:type="dxa"/>
            <w:vAlign w:val="bottom"/>
          </w:tcPr>
          <w:p w:rsidR="00D40BBD" w:rsidRPr="00D40BBD" w:rsidRDefault="00D40BBD">
            <w:pPr>
              <w:ind w:right="26"/>
              <w:jc w:val="both"/>
              <w:rPr>
                <w:rFonts w:ascii="Arial" w:hAnsi="Arial" w:cs="Arial"/>
                <w:b/>
                <w:color w:val="FF0000"/>
                <w:sz w:val="16"/>
                <w:szCs w:val="16"/>
                <w:lang w:val="en-GB"/>
              </w:rPr>
            </w:pPr>
            <w:r w:rsidRPr="00D40BBD">
              <w:rPr>
                <w:rFonts w:ascii="Arial" w:hAnsi="Arial" w:cs="Arial"/>
                <w:b/>
                <w:color w:val="FF0000"/>
                <w:sz w:val="16"/>
                <w:szCs w:val="16"/>
                <w:lang w:val="en-GB"/>
              </w:rPr>
              <w:t>2011</w:t>
            </w:r>
          </w:p>
        </w:tc>
      </w:tr>
      <w:tr w:rsidR="00D40BBD">
        <w:tc>
          <w:tcPr>
            <w:tcW w:w="1757" w:type="dxa"/>
            <w:vAlign w:val="bottom"/>
          </w:tcPr>
          <w:p w:rsidR="00D40BBD" w:rsidRPr="00D40BBD" w:rsidRDefault="00D40BBD">
            <w:pPr>
              <w:ind w:right="26"/>
              <w:jc w:val="both"/>
              <w:rPr>
                <w:rFonts w:ascii="Arial" w:hAnsi="Arial" w:cs="Arial"/>
                <w:b/>
                <w:sz w:val="16"/>
                <w:szCs w:val="16"/>
                <w:lang w:val="en-GB"/>
              </w:rPr>
            </w:pPr>
            <w:r w:rsidRPr="00D40BBD">
              <w:rPr>
                <w:rFonts w:ascii="Arial" w:hAnsi="Arial" w:cs="Arial"/>
                <w:b/>
                <w:sz w:val="16"/>
                <w:szCs w:val="16"/>
                <w:lang w:val="en-GB"/>
              </w:rPr>
              <w:t>Inspections-reinspections</w:t>
            </w:r>
          </w:p>
        </w:tc>
        <w:tc>
          <w:tcPr>
            <w:tcW w:w="1197"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26161</w:t>
            </w:r>
          </w:p>
        </w:tc>
        <w:tc>
          <w:tcPr>
            <w:tcW w:w="1201"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25477</w:t>
            </w:r>
          </w:p>
        </w:tc>
        <w:tc>
          <w:tcPr>
            <w:tcW w:w="1201"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27857</w:t>
            </w:r>
          </w:p>
        </w:tc>
        <w:tc>
          <w:tcPr>
            <w:tcW w:w="1206"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27895</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24600</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24496</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US"/>
              </w:rPr>
            </w:pPr>
            <w:r w:rsidRPr="00D40BBD">
              <w:rPr>
                <w:rFonts w:ascii="Arial" w:hAnsi="Arial" w:cs="Arial"/>
                <w:sz w:val="16"/>
                <w:szCs w:val="16"/>
                <w:lang w:val="en-US"/>
              </w:rPr>
              <w:t>25259</w:t>
            </w:r>
          </w:p>
        </w:tc>
        <w:tc>
          <w:tcPr>
            <w:tcW w:w="1195" w:type="dxa"/>
            <w:vAlign w:val="bottom"/>
          </w:tcPr>
          <w:p w:rsidR="00D40BBD" w:rsidRPr="00D40BBD" w:rsidRDefault="00D40BBD">
            <w:pPr>
              <w:ind w:right="26"/>
              <w:jc w:val="both"/>
              <w:rPr>
                <w:rFonts w:ascii="Arial" w:hAnsi="Arial" w:cs="Arial"/>
                <w:sz w:val="16"/>
                <w:szCs w:val="16"/>
                <w:lang w:val="en-GB"/>
              </w:rPr>
            </w:pPr>
            <w:r>
              <w:rPr>
                <w:rFonts w:ascii="Arial" w:hAnsi="Arial" w:cs="Arial"/>
                <w:sz w:val="16"/>
                <w:szCs w:val="16"/>
                <w:lang w:val="en-GB"/>
              </w:rPr>
              <w:t>28150</w:t>
            </w:r>
          </w:p>
        </w:tc>
      </w:tr>
      <w:tr w:rsidR="00D40BBD">
        <w:tc>
          <w:tcPr>
            <w:tcW w:w="1757" w:type="dxa"/>
            <w:vAlign w:val="bottom"/>
          </w:tcPr>
          <w:p w:rsidR="00D40BBD" w:rsidRPr="00D40BBD" w:rsidRDefault="00D40BBD">
            <w:pPr>
              <w:ind w:right="26"/>
              <w:jc w:val="both"/>
              <w:rPr>
                <w:rFonts w:ascii="Arial" w:hAnsi="Arial" w:cs="Arial"/>
                <w:b/>
                <w:sz w:val="16"/>
                <w:szCs w:val="16"/>
                <w:lang w:val="en-GB"/>
              </w:rPr>
            </w:pPr>
            <w:r w:rsidRPr="00D40BBD">
              <w:rPr>
                <w:rFonts w:ascii="Arial" w:hAnsi="Arial" w:cs="Arial"/>
                <w:b/>
                <w:sz w:val="16"/>
                <w:szCs w:val="16"/>
                <w:lang w:val="en-GB"/>
              </w:rPr>
              <w:t>Prosecuting reports- impeachments</w:t>
            </w:r>
          </w:p>
        </w:tc>
        <w:tc>
          <w:tcPr>
            <w:tcW w:w="1197" w:type="dxa"/>
            <w:vAlign w:val="bottom"/>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1490</w:t>
            </w:r>
          </w:p>
        </w:tc>
        <w:tc>
          <w:tcPr>
            <w:tcW w:w="1201" w:type="dxa"/>
            <w:vAlign w:val="bottom"/>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1045</w:t>
            </w:r>
          </w:p>
        </w:tc>
        <w:tc>
          <w:tcPr>
            <w:tcW w:w="1201" w:type="dxa"/>
            <w:vAlign w:val="bottom"/>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1303</w:t>
            </w:r>
          </w:p>
        </w:tc>
        <w:tc>
          <w:tcPr>
            <w:tcW w:w="1206" w:type="dxa"/>
            <w:vAlign w:val="bottom"/>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1132</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1063</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971</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US"/>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839</w:t>
            </w:r>
          </w:p>
        </w:tc>
        <w:tc>
          <w:tcPr>
            <w:tcW w:w="1195" w:type="dxa"/>
            <w:vAlign w:val="bottom"/>
          </w:tcPr>
          <w:p w:rsidR="00D40BBD" w:rsidRPr="00D40BBD" w:rsidRDefault="00D40BBD">
            <w:pPr>
              <w:ind w:right="26"/>
              <w:jc w:val="both"/>
              <w:rPr>
                <w:rFonts w:ascii="Arial" w:hAnsi="Arial" w:cs="Arial"/>
                <w:sz w:val="16"/>
                <w:szCs w:val="16"/>
                <w:lang w:val="en-GB"/>
              </w:rPr>
            </w:pPr>
            <w:r>
              <w:rPr>
                <w:rFonts w:ascii="Arial" w:hAnsi="Arial" w:cs="Arial"/>
                <w:sz w:val="16"/>
                <w:szCs w:val="16"/>
                <w:lang w:val="en-GB"/>
              </w:rPr>
              <w:t>775</w:t>
            </w:r>
          </w:p>
        </w:tc>
      </w:tr>
      <w:tr w:rsidR="00D40BBD">
        <w:tc>
          <w:tcPr>
            <w:tcW w:w="1757" w:type="dxa"/>
            <w:vAlign w:val="bottom"/>
          </w:tcPr>
          <w:p w:rsidR="00D40BBD" w:rsidRPr="00D40BBD" w:rsidRDefault="00D40BBD">
            <w:pPr>
              <w:ind w:right="26"/>
              <w:jc w:val="both"/>
              <w:rPr>
                <w:rFonts w:ascii="Arial" w:hAnsi="Arial" w:cs="Arial"/>
                <w:b/>
                <w:sz w:val="16"/>
                <w:szCs w:val="16"/>
                <w:lang w:val="en-GB"/>
              </w:rPr>
            </w:pPr>
            <w:r w:rsidRPr="00D40BBD">
              <w:rPr>
                <w:rFonts w:ascii="Arial" w:hAnsi="Arial" w:cs="Arial"/>
                <w:b/>
                <w:sz w:val="16"/>
                <w:szCs w:val="16"/>
                <w:lang w:val="en-GB"/>
              </w:rPr>
              <w:t>Suspension of works</w:t>
            </w:r>
          </w:p>
        </w:tc>
        <w:tc>
          <w:tcPr>
            <w:tcW w:w="1197" w:type="dxa"/>
            <w:vAlign w:val="bottom"/>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1991</w:t>
            </w:r>
          </w:p>
        </w:tc>
        <w:tc>
          <w:tcPr>
            <w:tcW w:w="1201" w:type="dxa"/>
            <w:vAlign w:val="bottom"/>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2065</w:t>
            </w:r>
          </w:p>
        </w:tc>
        <w:tc>
          <w:tcPr>
            <w:tcW w:w="1201" w:type="dxa"/>
            <w:vAlign w:val="bottom"/>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2248</w:t>
            </w:r>
          </w:p>
        </w:tc>
        <w:tc>
          <w:tcPr>
            <w:tcW w:w="1206" w:type="dxa"/>
            <w:vAlign w:val="bottom"/>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2201</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1738</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1599</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1357</w:t>
            </w:r>
          </w:p>
        </w:tc>
        <w:tc>
          <w:tcPr>
            <w:tcW w:w="1195" w:type="dxa"/>
            <w:vAlign w:val="bottom"/>
          </w:tcPr>
          <w:p w:rsidR="00D40BBD" w:rsidRPr="00D40BBD" w:rsidRDefault="00D40BBD">
            <w:pPr>
              <w:ind w:right="26"/>
              <w:jc w:val="both"/>
              <w:rPr>
                <w:rFonts w:ascii="Arial" w:hAnsi="Arial" w:cs="Arial"/>
                <w:sz w:val="16"/>
                <w:szCs w:val="16"/>
                <w:lang w:val="en-GB"/>
              </w:rPr>
            </w:pPr>
            <w:r>
              <w:rPr>
                <w:rFonts w:ascii="Arial" w:hAnsi="Arial" w:cs="Arial"/>
                <w:sz w:val="16"/>
                <w:szCs w:val="16"/>
                <w:lang w:val="en-GB"/>
              </w:rPr>
              <w:t>806</w:t>
            </w:r>
          </w:p>
        </w:tc>
      </w:tr>
      <w:tr w:rsidR="00D40BBD">
        <w:tc>
          <w:tcPr>
            <w:tcW w:w="1757" w:type="dxa"/>
            <w:vAlign w:val="bottom"/>
          </w:tcPr>
          <w:p w:rsidR="00D40BBD" w:rsidRPr="00D40BBD" w:rsidRDefault="00D40BBD">
            <w:pPr>
              <w:ind w:right="26"/>
              <w:jc w:val="both"/>
              <w:rPr>
                <w:rFonts w:ascii="Arial" w:hAnsi="Arial" w:cs="Arial"/>
                <w:b/>
                <w:sz w:val="16"/>
                <w:szCs w:val="16"/>
                <w:lang w:val="en-GB"/>
              </w:rPr>
            </w:pPr>
            <w:r w:rsidRPr="00D40BBD">
              <w:rPr>
                <w:rFonts w:ascii="Arial" w:hAnsi="Arial" w:cs="Arial"/>
                <w:b/>
                <w:sz w:val="16"/>
                <w:szCs w:val="16"/>
                <w:lang w:val="en-GB"/>
              </w:rPr>
              <w:t>Imposed fines</w:t>
            </w:r>
          </w:p>
        </w:tc>
        <w:tc>
          <w:tcPr>
            <w:tcW w:w="1197"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2238</w:t>
            </w:r>
          </w:p>
        </w:tc>
        <w:tc>
          <w:tcPr>
            <w:tcW w:w="1201"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1349</w:t>
            </w:r>
          </w:p>
        </w:tc>
        <w:tc>
          <w:tcPr>
            <w:tcW w:w="1201"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1379</w:t>
            </w:r>
          </w:p>
        </w:tc>
        <w:tc>
          <w:tcPr>
            <w:tcW w:w="1206"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1315</w:t>
            </w:r>
          </w:p>
        </w:tc>
        <w:tc>
          <w:tcPr>
            <w:tcW w:w="1195" w:type="dxa"/>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1246</w:t>
            </w:r>
          </w:p>
        </w:tc>
        <w:tc>
          <w:tcPr>
            <w:tcW w:w="1195" w:type="dxa"/>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1018</w:t>
            </w:r>
          </w:p>
        </w:tc>
        <w:tc>
          <w:tcPr>
            <w:tcW w:w="1195" w:type="dxa"/>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1023</w:t>
            </w:r>
          </w:p>
        </w:tc>
        <w:tc>
          <w:tcPr>
            <w:tcW w:w="1195" w:type="dxa"/>
            <w:vAlign w:val="bottom"/>
          </w:tcPr>
          <w:p w:rsidR="00D40BBD" w:rsidRPr="00D40BBD" w:rsidRDefault="00D40BBD">
            <w:pPr>
              <w:ind w:right="26"/>
              <w:jc w:val="both"/>
              <w:rPr>
                <w:rFonts w:ascii="Arial" w:hAnsi="Arial" w:cs="Arial"/>
                <w:sz w:val="16"/>
                <w:szCs w:val="16"/>
                <w:lang w:val="en-GB"/>
              </w:rPr>
            </w:pPr>
            <w:r>
              <w:rPr>
                <w:rFonts w:ascii="Arial" w:hAnsi="Arial" w:cs="Arial"/>
                <w:sz w:val="16"/>
                <w:szCs w:val="16"/>
                <w:lang w:val="en-GB"/>
              </w:rPr>
              <w:t>590</w:t>
            </w:r>
          </w:p>
        </w:tc>
      </w:tr>
      <w:tr w:rsidR="00D40BBD">
        <w:tc>
          <w:tcPr>
            <w:tcW w:w="1757" w:type="dxa"/>
            <w:vAlign w:val="bottom"/>
          </w:tcPr>
          <w:p w:rsidR="00D40BBD" w:rsidRPr="00D40BBD" w:rsidRDefault="00D40BBD">
            <w:pPr>
              <w:ind w:right="26"/>
              <w:jc w:val="both"/>
              <w:rPr>
                <w:rFonts w:ascii="Arial" w:hAnsi="Arial" w:cs="Arial"/>
                <w:b/>
                <w:sz w:val="16"/>
                <w:szCs w:val="16"/>
                <w:lang w:val="en-GB"/>
              </w:rPr>
            </w:pPr>
            <w:r w:rsidRPr="00D40BBD">
              <w:rPr>
                <w:rFonts w:ascii="Arial" w:hAnsi="Arial" w:cs="Arial"/>
                <w:b/>
                <w:sz w:val="16"/>
                <w:szCs w:val="16"/>
                <w:lang w:val="en-GB"/>
              </w:rPr>
              <w:t>Amounts (in Euro)</w:t>
            </w:r>
          </w:p>
        </w:tc>
        <w:tc>
          <w:tcPr>
            <w:tcW w:w="1197"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2.721.300</w:t>
            </w:r>
          </w:p>
        </w:tc>
        <w:tc>
          <w:tcPr>
            <w:tcW w:w="1201"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1.928.250</w:t>
            </w:r>
          </w:p>
        </w:tc>
        <w:tc>
          <w:tcPr>
            <w:tcW w:w="1201"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2.949.100</w:t>
            </w:r>
          </w:p>
        </w:tc>
        <w:tc>
          <w:tcPr>
            <w:tcW w:w="1206" w:type="dxa"/>
            <w:vAlign w:val="bottom"/>
          </w:tcPr>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3.021.500</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3.354.900</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2.856.400</w:t>
            </w:r>
          </w:p>
        </w:tc>
        <w:tc>
          <w:tcPr>
            <w:tcW w:w="1195" w:type="dxa"/>
          </w:tcPr>
          <w:p w:rsidR="00D40BBD" w:rsidRPr="00D40BBD" w:rsidRDefault="00D40BBD">
            <w:pPr>
              <w:ind w:right="26"/>
              <w:jc w:val="both"/>
              <w:rPr>
                <w:rFonts w:ascii="Arial" w:hAnsi="Arial" w:cs="Arial"/>
                <w:sz w:val="16"/>
                <w:szCs w:val="16"/>
                <w:lang w:val="en-GB"/>
              </w:rPr>
            </w:pPr>
          </w:p>
          <w:p w:rsidR="00D40BBD" w:rsidRPr="00D40BBD" w:rsidRDefault="00D40BBD">
            <w:pPr>
              <w:ind w:right="26"/>
              <w:jc w:val="both"/>
              <w:rPr>
                <w:rFonts w:ascii="Arial" w:hAnsi="Arial" w:cs="Arial"/>
                <w:sz w:val="16"/>
                <w:szCs w:val="16"/>
                <w:lang w:val="en-GB"/>
              </w:rPr>
            </w:pPr>
            <w:r w:rsidRPr="00D40BBD">
              <w:rPr>
                <w:rFonts w:ascii="Arial" w:hAnsi="Arial" w:cs="Arial"/>
                <w:sz w:val="16"/>
                <w:szCs w:val="16"/>
                <w:lang w:val="en-GB"/>
              </w:rPr>
              <w:t>2.405.900</w:t>
            </w:r>
          </w:p>
        </w:tc>
        <w:tc>
          <w:tcPr>
            <w:tcW w:w="1195" w:type="dxa"/>
            <w:vAlign w:val="bottom"/>
          </w:tcPr>
          <w:p w:rsidR="00D40BBD" w:rsidRPr="00D40BBD" w:rsidRDefault="00D40BBD">
            <w:pPr>
              <w:ind w:right="26"/>
              <w:jc w:val="both"/>
              <w:rPr>
                <w:rFonts w:ascii="Arial" w:hAnsi="Arial" w:cs="Arial"/>
                <w:sz w:val="16"/>
                <w:szCs w:val="16"/>
                <w:lang w:val="en-GB"/>
              </w:rPr>
            </w:pPr>
            <w:r>
              <w:rPr>
                <w:rFonts w:ascii="Arial" w:hAnsi="Arial" w:cs="Arial"/>
                <w:sz w:val="16"/>
                <w:szCs w:val="16"/>
                <w:lang w:val="en-GB"/>
              </w:rPr>
              <w:t>1.704.111</w:t>
            </w:r>
          </w:p>
        </w:tc>
      </w:tr>
    </w:tbl>
    <w:p w:rsidR="00822681" w:rsidRDefault="00822681">
      <w:pPr>
        <w:ind w:right="26"/>
        <w:jc w:val="both"/>
        <w:rPr>
          <w:szCs w:val="25"/>
          <w:lang w:val="en-US"/>
        </w:rPr>
      </w:pPr>
    </w:p>
    <w:p w:rsidR="00822681" w:rsidRDefault="00555E51">
      <w:pPr>
        <w:ind w:right="26"/>
        <w:jc w:val="both"/>
        <w:rPr>
          <w:szCs w:val="25"/>
          <w:lang w:val="en-US"/>
        </w:rPr>
      </w:pPr>
      <w:r>
        <w:rPr>
          <w:szCs w:val="25"/>
          <w:lang w:val="en-US"/>
        </w:rPr>
        <w:lastRenderedPageBreak/>
        <w:t>93.</w:t>
      </w:r>
      <w:r>
        <w:rPr>
          <w:szCs w:val="25"/>
          <w:lang w:val="en-US"/>
        </w:rPr>
        <w:tab/>
      </w:r>
      <w:r w:rsidR="00822681">
        <w:rPr>
          <w:szCs w:val="25"/>
          <w:lang w:val="en-US"/>
        </w:rPr>
        <w:t xml:space="preserve">Moreover, the agencies of the </w:t>
      </w:r>
      <w:r w:rsidR="00822681">
        <w:rPr>
          <w:szCs w:val="25"/>
          <w:lang w:val="en-GB"/>
        </w:rPr>
        <w:t xml:space="preserve">Occupational Safety and Health </w:t>
      </w:r>
      <w:r w:rsidR="00822681">
        <w:rPr>
          <w:szCs w:val="25"/>
          <w:lang w:val="en-US"/>
        </w:rPr>
        <w:t xml:space="preserve">Inspectorate of the Labour Inspectorate implemented a number of inspections and information campaigns. </w:t>
      </w:r>
    </w:p>
    <w:p w:rsidR="00822681" w:rsidRDefault="00822681">
      <w:pPr>
        <w:ind w:right="26"/>
        <w:jc w:val="both"/>
        <w:rPr>
          <w:bCs/>
          <w:lang w:val="en-US"/>
        </w:rPr>
      </w:pPr>
    </w:p>
    <w:p w:rsidR="00822681" w:rsidRDefault="00822681">
      <w:pPr>
        <w:pStyle w:val="a0"/>
        <w:spacing w:line="240" w:lineRule="auto"/>
        <w:ind w:right="26" w:firstLine="0"/>
        <w:rPr>
          <w:rFonts w:ascii="Times New Roman" w:hAnsi="Times New Roman" w:cs="Times New Roman"/>
          <w:bCs w:val="0"/>
          <w:sz w:val="24"/>
          <w:szCs w:val="24"/>
          <w:u w:val="single"/>
          <w:lang w:val="en-US"/>
        </w:rPr>
      </w:pPr>
      <w:r>
        <w:rPr>
          <w:rFonts w:ascii="Times New Roman" w:hAnsi="Times New Roman" w:cs="Times New Roman"/>
          <w:bCs w:val="0"/>
          <w:sz w:val="24"/>
          <w:szCs w:val="24"/>
          <w:u w:val="single"/>
          <w:lang w:val="en-US"/>
        </w:rPr>
        <w:t xml:space="preserve">Improvement of </w:t>
      </w:r>
      <w:r>
        <w:rPr>
          <w:rFonts w:ascii="Times New Roman" w:hAnsi="Times New Roman" w:cs="Times New Roman"/>
          <w:bCs w:val="0"/>
          <w:sz w:val="24"/>
          <w:u w:val="single"/>
          <w:lang w:val="en-US"/>
        </w:rPr>
        <w:t>sanitary, safety and working conditions for the</w:t>
      </w:r>
      <w:r>
        <w:rPr>
          <w:rFonts w:ascii="Times New Roman" w:hAnsi="Times New Roman" w:cs="Times New Roman"/>
          <w:bCs w:val="0"/>
          <w:sz w:val="24"/>
          <w:szCs w:val="24"/>
          <w:u w:val="single"/>
          <w:lang w:val="en-US"/>
        </w:rPr>
        <w:t xml:space="preserve"> </w:t>
      </w:r>
      <w:r>
        <w:rPr>
          <w:rFonts w:ascii="Times New Roman" w:hAnsi="Times New Roman" w:cs="Times New Roman"/>
          <w:bCs w:val="0"/>
          <w:sz w:val="24"/>
          <w:u w:val="single"/>
          <w:lang w:val="en-US"/>
        </w:rPr>
        <w:t>uniformed personnel of the Hellenic Police</w:t>
      </w:r>
    </w:p>
    <w:p w:rsidR="00822681" w:rsidRDefault="00555E51">
      <w:pPr>
        <w:ind w:right="26"/>
        <w:jc w:val="both"/>
        <w:rPr>
          <w:szCs w:val="22"/>
          <w:lang w:val="en-US"/>
        </w:rPr>
      </w:pPr>
      <w:r>
        <w:rPr>
          <w:szCs w:val="22"/>
          <w:lang w:val="en-US"/>
        </w:rPr>
        <w:t>94.</w:t>
      </w:r>
      <w:r>
        <w:rPr>
          <w:szCs w:val="22"/>
          <w:lang w:val="en-US"/>
        </w:rPr>
        <w:tab/>
      </w:r>
      <w:r w:rsidR="00822681">
        <w:rPr>
          <w:szCs w:val="22"/>
          <w:lang w:val="en-US"/>
        </w:rPr>
        <w:t xml:space="preserve">Presidential Decree 45/2008 (A’–73) </w:t>
      </w:r>
      <w:r w:rsidR="00822681">
        <w:rPr>
          <w:i/>
          <w:szCs w:val="22"/>
          <w:lang w:val="en-US"/>
        </w:rPr>
        <w:t>“Health and safety measures for the uniformed personnel of the Hellenic Police”</w:t>
      </w:r>
      <w:r w:rsidR="00822681">
        <w:rPr>
          <w:szCs w:val="22"/>
          <w:lang w:val="en-US"/>
        </w:rPr>
        <w:t xml:space="preserve"> aims at the improvement of sanitary, safety and working conditions for the uniformed personnel of the Hellenic Police. The Decree provides for the measures to be taken for the protection of the Hellenic Police personnel against hazards related to their health and safety during the exercise of their tasks. Its provisions revolve around the protection of all uniformed personnel of the Hellenic Police, without exception (police officers, Special Guards, Border Guards) against hazards directly related to their health and safety during the exercise of their tasks.</w:t>
      </w:r>
      <w:r w:rsidR="0072350E">
        <w:rPr>
          <w:szCs w:val="22"/>
          <w:lang w:val="en-US"/>
        </w:rPr>
        <w:t xml:space="preserve"> </w:t>
      </w:r>
      <w:r w:rsidR="00822681">
        <w:rPr>
          <w:szCs w:val="22"/>
          <w:lang w:val="en-US"/>
        </w:rPr>
        <w:t>In order to prevent or minimize all relevant hazards, special emphasis is put on medical examination, the provision of all necessary technical equipment, adequate training, as well as the maintenance and disinfection of the Police’s premises and vehicles. Special care is taken as regards the guarding and transfer of detainees, patrolling, road traffic regulation and sanitary landfills patrolling.</w:t>
      </w:r>
    </w:p>
    <w:p w:rsidR="00822681" w:rsidRDefault="00822681">
      <w:pPr>
        <w:ind w:right="26"/>
        <w:jc w:val="both"/>
        <w:rPr>
          <w:szCs w:val="22"/>
          <w:lang w:val="en-US"/>
        </w:rPr>
      </w:pPr>
    </w:p>
    <w:p w:rsidR="00822681" w:rsidRDefault="00822681">
      <w:pPr>
        <w:widowControl w:val="0"/>
        <w:autoSpaceDE w:val="0"/>
        <w:autoSpaceDN w:val="0"/>
        <w:adjustRightInd w:val="0"/>
        <w:ind w:right="26"/>
        <w:jc w:val="both"/>
        <w:rPr>
          <w:i/>
          <w:u w:val="single"/>
          <w:lang w:val="en-US"/>
        </w:rPr>
      </w:pPr>
      <w:r>
        <w:rPr>
          <w:u w:val="single"/>
          <w:lang w:val="en-US"/>
        </w:rPr>
        <w:t>Data concerning work accidents</w:t>
      </w:r>
      <w:r>
        <w:rPr>
          <w:i/>
          <w:u w:val="single"/>
          <w:lang w:val="en-US"/>
        </w:rPr>
        <w:t xml:space="preserve"> </w:t>
      </w:r>
    </w:p>
    <w:p w:rsidR="00822681" w:rsidRDefault="00555E51">
      <w:pPr>
        <w:widowControl w:val="0"/>
        <w:autoSpaceDE w:val="0"/>
        <w:autoSpaceDN w:val="0"/>
        <w:adjustRightInd w:val="0"/>
        <w:ind w:right="26"/>
        <w:jc w:val="both"/>
        <w:rPr>
          <w:lang w:val="en-GB"/>
        </w:rPr>
      </w:pPr>
      <w:r>
        <w:rPr>
          <w:lang w:val="en-GB"/>
        </w:rPr>
        <w:t>95.</w:t>
      </w:r>
      <w:r>
        <w:rPr>
          <w:lang w:val="en-GB"/>
        </w:rPr>
        <w:tab/>
      </w:r>
      <w:r w:rsidR="00822681">
        <w:rPr>
          <w:lang w:val="en-GB"/>
        </w:rPr>
        <w:t>The following table presents the available statistical data concerning work accidents reported to Labour Inspectorate (S.EP.E) during the years 2004-</w:t>
      </w:r>
      <w:r w:rsidR="00D046A1">
        <w:rPr>
          <w:lang w:val="en-GB"/>
        </w:rPr>
        <w:t>2011</w:t>
      </w:r>
    </w:p>
    <w:p w:rsidR="00822681" w:rsidRDefault="00822681">
      <w:pPr>
        <w:widowControl w:val="0"/>
        <w:autoSpaceDE w:val="0"/>
        <w:autoSpaceDN w:val="0"/>
        <w:adjustRightInd w:val="0"/>
        <w:ind w:right="26"/>
        <w:jc w:val="both"/>
        <w:rPr>
          <w:sz w:val="20"/>
          <w:lang w:val="en-GB"/>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720"/>
        <w:gridCol w:w="720"/>
        <w:gridCol w:w="900"/>
        <w:gridCol w:w="720"/>
        <w:gridCol w:w="900"/>
        <w:gridCol w:w="900"/>
        <w:gridCol w:w="900"/>
        <w:gridCol w:w="900"/>
      </w:tblGrid>
      <w:tr w:rsidR="00D046A1">
        <w:trPr>
          <w:trHeight w:val="321"/>
        </w:trPr>
        <w:tc>
          <w:tcPr>
            <w:tcW w:w="1762" w:type="dxa"/>
          </w:tcPr>
          <w:p w:rsidR="00D046A1" w:rsidRPr="00D046A1" w:rsidRDefault="00D046A1">
            <w:pPr>
              <w:widowControl w:val="0"/>
              <w:autoSpaceDE w:val="0"/>
              <w:autoSpaceDN w:val="0"/>
              <w:adjustRightInd w:val="0"/>
              <w:ind w:right="26"/>
              <w:jc w:val="both"/>
              <w:rPr>
                <w:bCs/>
                <w:sz w:val="20"/>
                <w:szCs w:val="20"/>
                <w:lang w:val="en-GB"/>
              </w:rPr>
            </w:pPr>
          </w:p>
        </w:tc>
        <w:tc>
          <w:tcPr>
            <w:tcW w:w="720" w:type="dxa"/>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2004</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2005</w:t>
            </w:r>
          </w:p>
        </w:tc>
        <w:tc>
          <w:tcPr>
            <w:tcW w:w="90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2006</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2007</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2008</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2009</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2010</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2011</w:t>
            </w:r>
          </w:p>
        </w:tc>
      </w:tr>
      <w:tr w:rsidR="00D046A1">
        <w:trPr>
          <w:trHeight w:val="524"/>
        </w:trPr>
        <w:tc>
          <w:tcPr>
            <w:tcW w:w="1762" w:type="dxa"/>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Reported work accidents</w:t>
            </w:r>
          </w:p>
        </w:tc>
        <w:tc>
          <w:tcPr>
            <w:tcW w:w="720" w:type="dxa"/>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6.333</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6.044</w:t>
            </w:r>
          </w:p>
        </w:tc>
        <w:tc>
          <w:tcPr>
            <w:tcW w:w="90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6.255</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6.561</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6.657</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6.381</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5.721</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5203</w:t>
            </w:r>
          </w:p>
        </w:tc>
      </w:tr>
      <w:tr w:rsidR="00D046A1">
        <w:trPr>
          <w:trHeight w:val="497"/>
        </w:trPr>
        <w:tc>
          <w:tcPr>
            <w:tcW w:w="1762" w:type="dxa"/>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Fatal work accidents (total)</w:t>
            </w:r>
          </w:p>
        </w:tc>
        <w:tc>
          <w:tcPr>
            <w:tcW w:w="720" w:type="dxa"/>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127</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111</w:t>
            </w:r>
          </w:p>
        </w:tc>
        <w:tc>
          <w:tcPr>
            <w:tcW w:w="90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128</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115</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142</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113</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94</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70</w:t>
            </w:r>
          </w:p>
        </w:tc>
      </w:tr>
      <w:tr w:rsidR="00D046A1">
        <w:trPr>
          <w:trHeight w:val="699"/>
        </w:trPr>
        <w:tc>
          <w:tcPr>
            <w:tcW w:w="1762" w:type="dxa"/>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Fatal work accidents (except for pathological)</w:t>
            </w:r>
          </w:p>
        </w:tc>
        <w:tc>
          <w:tcPr>
            <w:tcW w:w="720" w:type="dxa"/>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97</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95</w:t>
            </w:r>
          </w:p>
        </w:tc>
        <w:tc>
          <w:tcPr>
            <w:tcW w:w="90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105</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94</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104</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84</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63</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39</w:t>
            </w:r>
          </w:p>
        </w:tc>
      </w:tr>
      <w:tr w:rsidR="00D046A1">
        <w:trPr>
          <w:trHeight w:val="973"/>
        </w:trPr>
        <w:tc>
          <w:tcPr>
            <w:tcW w:w="1762" w:type="dxa"/>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Fatal work accidents in the construction sector (except for pathological)</w:t>
            </w:r>
          </w:p>
        </w:tc>
        <w:tc>
          <w:tcPr>
            <w:tcW w:w="720" w:type="dxa"/>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68</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62</w:t>
            </w:r>
          </w:p>
        </w:tc>
        <w:tc>
          <w:tcPr>
            <w:tcW w:w="90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56</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59</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48</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43</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29</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18</w:t>
            </w:r>
          </w:p>
        </w:tc>
      </w:tr>
      <w:tr w:rsidR="00D046A1">
        <w:trPr>
          <w:trHeight w:val="525"/>
        </w:trPr>
        <w:tc>
          <w:tcPr>
            <w:tcW w:w="1762" w:type="dxa"/>
          </w:tcPr>
          <w:p w:rsidR="00D046A1" w:rsidRPr="00D046A1" w:rsidRDefault="00D046A1">
            <w:pPr>
              <w:widowControl w:val="0"/>
              <w:autoSpaceDE w:val="0"/>
              <w:autoSpaceDN w:val="0"/>
              <w:adjustRightInd w:val="0"/>
              <w:ind w:right="26"/>
              <w:jc w:val="both"/>
              <w:rPr>
                <w:bCs/>
                <w:sz w:val="20"/>
                <w:szCs w:val="20"/>
                <w:lang w:val="en-GB"/>
              </w:rPr>
            </w:pPr>
            <w:r w:rsidRPr="00D046A1">
              <w:rPr>
                <w:bCs/>
                <w:sz w:val="20"/>
                <w:szCs w:val="20"/>
                <w:lang w:val="en-US"/>
              </w:rPr>
              <w:t>Fatal work accidents in other enterprises (except for pathological)</w:t>
            </w:r>
          </w:p>
        </w:tc>
        <w:tc>
          <w:tcPr>
            <w:tcW w:w="720" w:type="dxa"/>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29</w:t>
            </w:r>
          </w:p>
        </w:tc>
        <w:tc>
          <w:tcPr>
            <w:tcW w:w="720" w:type="dxa"/>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33</w:t>
            </w:r>
          </w:p>
        </w:tc>
        <w:tc>
          <w:tcPr>
            <w:tcW w:w="90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49</w:t>
            </w:r>
          </w:p>
        </w:tc>
        <w:tc>
          <w:tcPr>
            <w:tcW w:w="720" w:type="dxa"/>
            <w:shd w:val="clear" w:color="auto" w:fill="FFFFFF"/>
            <w:noWrap/>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35</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56</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US"/>
              </w:rPr>
            </w:pPr>
            <w:r w:rsidRPr="00D046A1">
              <w:rPr>
                <w:bCs/>
                <w:sz w:val="20"/>
                <w:szCs w:val="20"/>
                <w:lang w:val="en-US"/>
              </w:rPr>
              <w:t>41</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GB"/>
              </w:rPr>
            </w:pPr>
            <w:r w:rsidRPr="00D046A1">
              <w:rPr>
                <w:bCs/>
                <w:sz w:val="20"/>
                <w:szCs w:val="20"/>
                <w:lang w:val="en-GB"/>
              </w:rPr>
              <w:t>34</w:t>
            </w:r>
          </w:p>
        </w:tc>
        <w:tc>
          <w:tcPr>
            <w:tcW w:w="900" w:type="dxa"/>
            <w:shd w:val="clear" w:color="auto" w:fill="FFFFFF"/>
          </w:tcPr>
          <w:p w:rsidR="00D046A1" w:rsidRPr="00D046A1" w:rsidRDefault="00D046A1">
            <w:pPr>
              <w:widowControl w:val="0"/>
              <w:autoSpaceDE w:val="0"/>
              <w:autoSpaceDN w:val="0"/>
              <w:adjustRightInd w:val="0"/>
              <w:ind w:right="26"/>
              <w:jc w:val="both"/>
              <w:rPr>
                <w:bCs/>
                <w:sz w:val="20"/>
                <w:szCs w:val="20"/>
                <w:lang w:val="en-GB"/>
              </w:rPr>
            </w:pPr>
            <w:r w:rsidRPr="00D046A1">
              <w:rPr>
                <w:bCs/>
                <w:sz w:val="20"/>
                <w:szCs w:val="20"/>
                <w:lang w:val="en-GB"/>
              </w:rPr>
              <w:t>21</w:t>
            </w:r>
          </w:p>
        </w:tc>
      </w:tr>
    </w:tbl>
    <w:p w:rsidR="00822681" w:rsidRDefault="00822681">
      <w:pPr>
        <w:widowControl w:val="0"/>
        <w:autoSpaceDE w:val="0"/>
        <w:autoSpaceDN w:val="0"/>
        <w:adjustRightInd w:val="0"/>
        <w:ind w:right="26"/>
        <w:jc w:val="both"/>
        <w:rPr>
          <w:lang w:val="en-US"/>
        </w:rPr>
      </w:pPr>
    </w:p>
    <w:p w:rsidR="00822681" w:rsidRDefault="00555E51">
      <w:pPr>
        <w:widowControl w:val="0"/>
        <w:autoSpaceDE w:val="0"/>
        <w:autoSpaceDN w:val="0"/>
        <w:adjustRightInd w:val="0"/>
        <w:ind w:right="26"/>
        <w:jc w:val="both"/>
        <w:rPr>
          <w:lang w:val="en-GB"/>
        </w:rPr>
      </w:pPr>
      <w:r>
        <w:rPr>
          <w:lang w:val="en-GB"/>
        </w:rPr>
        <w:t>96.</w:t>
      </w:r>
      <w:r>
        <w:rPr>
          <w:lang w:val="en-GB"/>
        </w:rPr>
        <w:tab/>
      </w:r>
      <w:r w:rsidR="00822681">
        <w:rPr>
          <w:lang w:val="en-GB"/>
        </w:rPr>
        <w:t>The following graph illustrates the number of fatal work accidents reported to the Labour Inspectorate for the years 2000-</w:t>
      </w:r>
      <w:r w:rsidR="00D046A1">
        <w:rPr>
          <w:lang w:val="en-GB"/>
        </w:rPr>
        <w:t>2011</w:t>
      </w:r>
      <w:r w:rsidR="00822681">
        <w:rPr>
          <w:lang w:val="en-GB"/>
        </w:rPr>
        <w:t>.</w:t>
      </w:r>
    </w:p>
    <w:p w:rsidR="00822681" w:rsidRDefault="00D046A1">
      <w:pPr>
        <w:widowControl w:val="0"/>
        <w:autoSpaceDE w:val="0"/>
        <w:autoSpaceDN w:val="0"/>
        <w:adjustRightInd w:val="0"/>
        <w:ind w:right="26"/>
        <w:jc w:val="both"/>
        <w:rPr>
          <w:lang w:val="en-GB"/>
        </w:rPr>
      </w:pPr>
      <w:r>
        <w:rPr>
          <w:noProof/>
        </w:rPr>
      </w:r>
      <w:r w:rsidRPr="00D046A1">
        <w:rPr>
          <w:lang w:val="en-GB"/>
        </w:rPr>
        <w:pict>
          <v:group id="_x0000_s1630" editas="canvas" style="width:6in;height:202.25pt;mso-position-horizontal-relative:char;mso-position-vertical-relative:line" coordorigin=",-1368" coordsize="8640,40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1" type="#_x0000_t75" style="position:absolute;top:-1368;width:8640;height:4045" o:preferrelative="f">
              <v:fill o:detectmouseclick="t"/>
              <v:path o:extrusionok="t" o:connecttype="none"/>
              <o:lock v:ext="edit" text="t"/>
            </v:shape>
            <v:group id="_x0000_s1632" style="position:absolute;left:66;top:-1297;width:8495;height:3840" coordorigin="66,-1297" coordsize="8495,3840">
              <v:rect id="_x0000_s1633" style="position:absolute;left:66;top:-1297;width:8495;height:141" fillcolor="#9cf" stroked="f"/>
              <v:rect id="_x0000_s1634" style="position:absolute;left:66;top:-1156;width:8495;height:169" fillcolor="#9bcdff" stroked="f"/>
              <v:rect id="_x0000_s1635" style="position:absolute;left:66;top:-987;width:8495;height:113" fillcolor="#9dcdff" stroked="f"/>
              <v:rect id="_x0000_s1636" style="position:absolute;left:66;top:-874;width:8495;height:113" fillcolor="#9fceff" stroked="f"/>
              <v:rect id="_x0000_s1637" style="position:absolute;left:66;top:-761;width:8495;height:85" fillcolor="#a1cfff" stroked="f"/>
              <v:rect id="_x0000_s1638" style="position:absolute;left:66;top:-676;width:8495;height:70" fillcolor="#a3d0ff" stroked="f"/>
              <v:rect id="_x0000_s1639" style="position:absolute;left:66;top:-606;width:8495;height:85" fillcolor="#a5d1ff" stroked="f"/>
              <v:rect id="_x0000_s1640" style="position:absolute;left:66;top:-521;width:8495;height:71" fillcolor="#a7d2ff" stroked="f"/>
              <v:rect id="_x0000_s1641" style="position:absolute;left:66;top:-450;width:8495;height:56" fillcolor="#a9d3ff" stroked="f"/>
              <v:rect id="_x0000_s1642" style="position:absolute;left:66;top:-394;width:8495;height:71" fillcolor="#abd4ff" stroked="f"/>
              <v:rect id="_x0000_s1643" style="position:absolute;left:66;top:-323;width:8495;height:56" fillcolor="#add4ff" stroked="f"/>
              <v:rect id="_x0000_s1644" style="position:absolute;left:66;top:-267;width:8495;height:57" fillcolor="#afd5ff" stroked="f"/>
              <v:rect id="_x0000_s1645" style="position:absolute;left:66;top:-210;width:8495;height:42" fillcolor="#b1d6ff" stroked="f"/>
              <v:rect id="_x0000_s1646" style="position:absolute;left:66;top:-168;width:8495;height:57" fillcolor="#b3d7ff" stroked="f"/>
              <v:rect id="_x0000_s1647" style="position:absolute;left:66;top:-111;width:8495;height:70" fillcolor="#b5d8ff" stroked="f"/>
              <v:rect id="_x0000_s1648" style="position:absolute;left:66;top:-41;width:8495;height:43" fillcolor="#b7d9ff" stroked="f"/>
              <v:rect id="_x0000_s1649" style="position:absolute;left:66;top:2;width:8495;height:42" fillcolor="#b9daff" stroked="f"/>
              <v:rect id="_x0000_s1650" style="position:absolute;left:66;top:44;width:8495;height:42" fillcolor="#bbdbff" stroked="f"/>
              <v:rect id="_x0000_s1651" style="position:absolute;left:66;top:86;width:8495;height:43" fillcolor="#bddcff" stroked="f"/>
              <v:rect id="_x0000_s1652" style="position:absolute;left:66;top:129;width:8495;height:70" fillcolor="#bfddff" stroked="f"/>
              <v:rect id="_x0000_s1653" style="position:absolute;left:66;top:199;width:8495;height:29" fillcolor="#c1deff" stroked="f"/>
              <v:rect id="_x0000_s1654" style="position:absolute;left:66;top:228;width:8495;height:56" fillcolor="#c3dfff" stroked="f"/>
              <v:rect id="_x0000_s1655" style="position:absolute;left:66;top:284;width:8495;height:42" fillcolor="#c5e0ff" stroked="f"/>
              <v:rect id="_x0000_s1656" style="position:absolute;left:66;top:326;width:8495;height:43" fillcolor="#c7e1ff" stroked="f"/>
              <v:rect id="_x0000_s1657" style="position:absolute;left:66;top:369;width:8495;height:56" fillcolor="#c9e2ff" stroked="f"/>
              <v:rect id="_x0000_s1658" style="position:absolute;left:66;top:425;width:8495;height:43" fillcolor="#cbe3ff" stroked="f"/>
              <v:rect id="_x0000_s1659" style="position:absolute;left:66;top:468;width:8495;height:42" fillcolor="#cde4ff" stroked="f"/>
              <v:rect id="_x0000_s1660" style="position:absolute;left:66;top:510;width:8495;height:42" fillcolor="#cfe5ff" stroked="f"/>
              <v:rect id="_x0000_s1661" style="position:absolute;left:66;top:552;width:8495;height:43" fillcolor="#d1e6ff" stroked="f"/>
              <v:rect id="_x0000_s1662" style="position:absolute;left:66;top:595;width:8495;height:56" fillcolor="#d3e7ff" stroked="f"/>
              <v:rect id="_x0000_s1663" style="position:absolute;left:66;top:651;width:8495;height:42" fillcolor="#d5e8ff" stroked="f"/>
              <v:rect id="_x0000_s1664" style="position:absolute;left:66;top:693;width:8495;height:43" fillcolor="#d7e9ff" stroked="f"/>
              <v:rect id="_x0000_s1665" style="position:absolute;left:66;top:736;width:8495;height:56" fillcolor="#d9eaff" stroked="f"/>
              <v:rect id="_x0000_s1666" style="position:absolute;left:66;top:792;width:8495;height:43" fillcolor="#dbebff" stroked="f"/>
              <v:rect id="_x0000_s1667" style="position:absolute;left:66;top:835;width:8495;height:56" fillcolor="#ddecff" stroked="f"/>
              <v:rect id="_x0000_s1668" style="position:absolute;left:66;top:891;width:8495;height:57" fillcolor="#dfedff" stroked="f"/>
              <v:rect id="_x0000_s1669" style="position:absolute;left:66;top:948;width:8495;height:56" fillcolor="#e1eeff" stroked="f"/>
              <v:rect id="_x0000_s1670" style="position:absolute;left:66;top:1004;width:8495;height:42" fillcolor="#e3efff" stroked="f"/>
              <v:rect id="_x0000_s1671" style="position:absolute;left:66;top:1046;width:8495;height:71" fillcolor="#e5f0ff" stroked="f"/>
              <v:rect id="_x0000_s1672" style="position:absolute;left:66;top:1117;width:8495;height:57" fillcolor="#e7f1ff" stroked="f"/>
              <v:rect id="_x0000_s1673" style="position:absolute;left:66;top:1174;width:8495;height:56" fillcolor="#e9f2ff" stroked="f"/>
              <v:rect id="_x0000_s1674" style="position:absolute;left:66;top:1230;width:8495;height:71" fillcolor="#ebf3ff" stroked="f"/>
              <v:rect id="_x0000_s1675" style="position:absolute;left:66;top:1301;width:8495;height:84" fillcolor="#edf5ff" stroked="f"/>
              <v:rect id="_x0000_s1676" style="position:absolute;left:66;top:1385;width:8495;height:71" fillcolor="#eff6ff" stroked="f"/>
              <v:rect id="_x0000_s1677" style="position:absolute;left:66;top:1456;width:8495;height:71" fillcolor="#f1f7ff" stroked="f"/>
              <v:rect id="_x0000_s1678" style="position:absolute;left:66;top:1527;width:8495;height:98" fillcolor="#f3f8ff" stroked="f"/>
              <v:rect id="_x0000_s1679" style="position:absolute;left:66;top:1625;width:8495;height:99" fillcolor="#f5f9ff" stroked="f"/>
              <v:rect id="_x0000_s1680" style="position:absolute;left:66;top:1724;width:8495;height:127" fillcolor="#f7faff" stroked="f"/>
              <v:rect id="_x0000_s1681" style="position:absolute;left:66;top:1851;width:8495;height:142" fillcolor="#f9fbff" stroked="f"/>
              <v:rect id="_x0000_s1682" style="position:absolute;left:66;top:1993;width:8495;height:169" fillcolor="#fbfcff" stroked="f"/>
              <v:rect id="_x0000_s1683" style="position:absolute;left:66;top:2162;width:8495;height:127" fillcolor="#fcfeff" stroked="f"/>
              <v:rect id="_x0000_s1684" style="position:absolute;left:66;top:2289;width:8495;height:254" stroked="f"/>
              <v:rect id="_x0000_s1685" style="position:absolute;left:66;top:-1297;width:8495;height:3840" filled="f" strokeweight="0"/>
              <v:rect id="_x0000_s1686" style="position:absolute;left:1080;top:-450;width:7310;height:2033" fillcolor="silver" stroked="f"/>
              <v:rect id="_x0000_s1687" style="position:absolute;left:1080;top:-450;width:7310;height:2033" filled="f" strokeweight=".65pt"/>
              <v:rect id="_x0000_s1688" style="position:absolute;left:1212;top:355;width:342;height:14" fillcolor="#ff0400" stroked="f"/>
              <v:rect id="_x0000_s1689" style="position:absolute;left:1212;top:369;width:342;height:14" fillcolor="#ff0c00" stroked="f"/>
              <v:rect id="_x0000_s1690" style="position:absolute;left:1212;top:383;width:342;height:14" fillcolor="#f10" stroked="f"/>
              <v:rect id="_x0000_s1691" style="position:absolute;left:1212;top:397;width:342;height:14" fillcolor="#ff1400" stroked="f"/>
              <v:rect id="_x0000_s1692" style="position:absolute;left:1212;top:411;width:342;height:14" fillcolor="#ff1600" stroked="f"/>
              <v:rect id="_x0000_s1693" style="position:absolute;left:1212;top:425;width:342;height:14" fillcolor="#ff1900" stroked="f"/>
              <v:rect id="_x0000_s1694" style="position:absolute;left:1212;top:439;width:342;height:14" fillcolor="#ff1b00" stroked="f"/>
              <v:rect id="_x0000_s1695" style="position:absolute;left:1212;top:453;width:342;height:15" fillcolor="#ff1e00" stroked="f"/>
              <v:rect id="_x0000_s1696" style="position:absolute;left:1212;top:468;width:342;height:14" fillcolor="#ff2000" stroked="f"/>
              <v:rect id="_x0000_s1697" style="position:absolute;left:1212;top:482;width:342;height:14" fillcolor="#ff2300" stroked="f"/>
              <v:rect id="_x0000_s1698" style="position:absolute;left:1212;top:496;width:342;height:14" fillcolor="#ff2400" stroked="f"/>
              <v:rect id="_x0000_s1699" style="position:absolute;left:1212;top:510;width:342;height:14" fillcolor="#ff2700" stroked="f"/>
              <v:rect id="_x0000_s1700" style="position:absolute;left:1212;top:524;width:342;height:14" fillcolor="#ff2a00" stroked="f"/>
              <v:rect id="_x0000_s1701" style="position:absolute;left:1212;top:538;width:342;height:14" fillcolor="#ff2d00" stroked="f"/>
              <v:rect id="_x0000_s1702" style="position:absolute;left:1212;top:552;width:342;height:14" fillcolor="#ff2e00" stroked="f"/>
              <v:rect id="_x0000_s1703" style="position:absolute;left:1212;top:566;width:342;height:15" fillcolor="#ff3000" stroked="f"/>
              <v:rect id="_x0000_s1704" style="position:absolute;left:1212;top:581;width:342;height:14" fillcolor="#f30" stroked="f"/>
              <v:rect id="_x0000_s1705" style="position:absolute;left:1212;top:595;width:342;height:14" fillcolor="#ff3500" stroked="f"/>
              <v:rect id="_x0000_s1706" style="position:absolute;left:1212;top:609;width:342;height:14" fillcolor="#ff3700" stroked="f"/>
              <v:rect id="_x0000_s1707" style="position:absolute;left:1212;top:623;width:342;height:14" fillcolor="#ff3900" stroked="f"/>
              <v:rect id="_x0000_s1708" style="position:absolute;left:1212;top:637;width:342;height:14" fillcolor="#ff3c00" stroked="f"/>
              <v:rect id="_x0000_s1709" style="position:absolute;left:1212;top:651;width:342;height:14" fillcolor="#ff3e00" stroked="f"/>
              <v:rect id="_x0000_s1710" style="position:absolute;left:1212;top:665;width:342;height:14" fillcolor="#ff4100" stroked="f"/>
              <v:rect id="_x0000_s1711" style="position:absolute;left:1212;top:679;width:342;height:14" fillcolor="#ff4300" stroked="f"/>
              <v:rect id="_x0000_s1712" style="position:absolute;left:1212;top:693;width:342;height:15" fillcolor="#ff4600" stroked="f"/>
              <v:rect id="_x0000_s1713" style="position:absolute;left:1212;top:708;width:342;height:14" fillcolor="#ff4800" stroked="f"/>
              <v:rect id="_x0000_s1714" style="position:absolute;left:1212;top:722;width:342;height:14" fillcolor="#ff4a00" stroked="f"/>
              <v:rect id="_x0000_s1715" style="position:absolute;left:1212;top:736;width:342;height:14" fillcolor="#ff4d00" stroked="f"/>
              <v:rect id="_x0000_s1716" style="position:absolute;left:1212;top:750;width:342;height:14" fillcolor="#ff4f00" stroked="f"/>
              <v:rect id="_x0000_s1717" style="position:absolute;left:1212;top:764;width:342;height:14" fillcolor="#ff5100" stroked="f"/>
              <v:rect id="_x0000_s1718" style="position:absolute;left:1212;top:778;width:342;height:14" fillcolor="#ff5300" stroked="f"/>
              <v:rect id="_x0000_s1719" style="position:absolute;left:1212;top:792;width:342;height:14" fillcolor="#ff5600" stroked="f"/>
              <v:rect id="_x0000_s1720" style="position:absolute;left:1212;top:806;width:342;height:15" fillcolor="#ff5900" stroked="f"/>
              <v:rect id="_x0000_s1721" style="position:absolute;left:1212;top:821;width:342;height:14" fillcolor="#ff5a00" stroked="f"/>
              <v:rect id="_x0000_s1722" style="position:absolute;left:1212;top:835;width:342;height:14" fillcolor="#ff5c00" stroked="f"/>
              <v:rect id="_x0000_s1723" style="position:absolute;left:1212;top:849;width:342;height:14" fillcolor="#ff5e00" stroked="f"/>
              <v:rect id="_x0000_s1724" style="position:absolute;left:1212;top:863;width:342;height:14" fillcolor="#ff6100" stroked="f"/>
              <v:rect id="_x0000_s1725" style="position:absolute;left:1212;top:877;width:342;height:14" fillcolor="#ff6400" stroked="f"/>
              <v:rect id="_x0000_s1726" style="position:absolute;left:1212;top:891;width:342;height:14" fillcolor="#f60" stroked="f"/>
              <v:rect id="_x0000_s1727" style="position:absolute;left:1212;top:905;width:342;height:14" fillcolor="#ff6700" stroked="f"/>
              <v:rect id="_x0000_s1728" style="position:absolute;left:1212;top:919;width:342;height:15" fillcolor="#ff6900" stroked="f"/>
              <v:rect id="_x0000_s1729" style="position:absolute;left:1212;top:934;width:342;height:14" fillcolor="#ff6c00" stroked="f"/>
              <v:rect id="_x0000_s1730" style="position:absolute;left:1212;top:948;width:342;height:14" fillcolor="#ff6e00" stroked="f"/>
              <v:rect id="_x0000_s1731" style="position:absolute;left:1212;top:962;width:342;height:14" fillcolor="#ff7000" stroked="f"/>
              <v:rect id="_x0000_s1732" style="position:absolute;left:1212;top:976;width:342;height:14" fillcolor="#ff7100" stroked="f"/>
              <v:rect id="_x0000_s1733" style="position:absolute;left:1212;top:990;width:342;height:14" fillcolor="#ff7300" stroked="f"/>
              <v:rect id="_x0000_s1734" style="position:absolute;left:1212;top:1004;width:342;height:14" fillcolor="#ff7500" stroked="f"/>
              <v:rect id="_x0000_s1735" style="position:absolute;left:1212;top:1018;width:342;height:14" fillcolor="#f70" stroked="f"/>
              <v:rect id="_x0000_s1736" style="position:absolute;left:1212;top:1032;width:342;height:14" fillcolor="#ff7900" stroked="f"/>
              <v:rect id="_x0000_s1737" style="position:absolute;left:1212;top:1046;width:342;height:15" fillcolor="#ff7b00" stroked="f"/>
              <v:rect id="_x0000_s1738" style="position:absolute;left:1212;top:1061;width:342;height:14" fillcolor="#ff7c00" stroked="f"/>
              <v:rect id="_x0000_s1739" style="position:absolute;left:1212;top:1075;width:342;height:14" fillcolor="#ff7e00" stroked="f"/>
              <v:rect id="_x0000_s1740" style="position:absolute;left:1212;top:1089;width:342;height:14" fillcolor="#ff7f00" stroked="f"/>
              <v:rect id="_x0000_s1741" style="position:absolute;left:1212;top:1103;width:342;height:14" fillcolor="#ff8100" stroked="f"/>
              <v:rect id="_x0000_s1742" style="position:absolute;left:1212;top:1117;width:342;height:14" fillcolor="#ff8200" stroked="f"/>
              <v:rect id="_x0000_s1743" style="position:absolute;left:1212;top:1131;width:342;height:14" fillcolor="#ff8400" stroked="f"/>
              <v:rect id="_x0000_s1744" style="position:absolute;left:1212;top:1145;width:342;height:14" fillcolor="#ff8500" stroked="f"/>
              <v:rect id="_x0000_s1745" style="position:absolute;left:1212;top:1159;width:342;height:15" fillcolor="#ff8700" stroked="f"/>
              <v:rect id="_x0000_s1746" style="position:absolute;left:1212;top:1174;width:342;height:14" fillcolor="#f80" stroked="f"/>
              <v:rect id="_x0000_s1747" style="position:absolute;left:1212;top:1188;width:342;height:14" fillcolor="#ff8900" stroked="f"/>
              <v:rect id="_x0000_s1748" style="position:absolute;left:1212;top:1202;width:342;height:14" fillcolor="#ff8a00" stroked="f"/>
              <v:rect id="_x0000_s1749" style="position:absolute;left:1212;top:1216;width:342;height:14" fillcolor="#ff8b00" stroked="f"/>
              <v:rect id="_x0000_s1750" style="position:absolute;left:1212;top:1230;width:342;height:14" fillcolor="#ff8c00" stroked="f"/>
              <v:rect id="_x0000_s1751" style="position:absolute;left:1212;top:1244;width:342;height:14" fillcolor="#ff8d00" stroked="f"/>
              <v:rect id="_x0000_s1752" style="position:absolute;left:1212;top:1258;width:342;height:14" fillcolor="#ff8e00" stroked="f"/>
              <v:rect id="_x0000_s1753" style="position:absolute;left:1212;top:1272;width:342;height:15" fillcolor="#ff8f00" stroked="f"/>
              <v:rect id="_x0000_s1754" style="position:absolute;left:1212;top:1287;width:342;height:14" fillcolor="#ff9000" stroked="f"/>
              <v:rect id="_x0000_s1755" style="position:absolute;left:1212;top:1301;width:342;height:28" fillcolor="#ff9100" stroked="f"/>
              <v:rect id="_x0000_s1756" style="position:absolute;left:1212;top:1329;width:342;height:14" fillcolor="#ff9200" stroked="f"/>
              <v:rect id="_x0000_s1757" style="position:absolute;left:1212;top:1343;width:342;height:14" fillcolor="#ff9300" stroked="f"/>
              <v:rect id="_x0000_s1758" style="position:absolute;left:1212;top:1357;width:342;height:42" fillcolor="#ff9400" stroked="f"/>
              <v:rect id="_x0000_s1759" style="position:absolute;left:1212;top:1399;width:342;height:15" fillcolor="#ff9500" stroked="f"/>
              <v:rect id="_x0000_s1760" style="position:absolute;left:1212;top:1414;width:342;height:42" fillcolor="#ff9600" stroked="f"/>
              <v:rect id="_x0000_s1761" style="position:absolute;left:1212;top:1456;width:342;height:42" fillcolor="#ff9700" stroked="f"/>
              <v:rect id="_x0000_s1762" style="position:absolute;left:1212;top:1498;width:342;height:57" fillcolor="#ff9800" stroked="f"/>
              <v:rect id="_x0000_s1763" style="position:absolute;left:1212;top:1555;width:342;height:28" fillcolor="#f90" stroked="f"/>
              <v:rect id="_x0000_s1764" style="position:absolute;left:1212;top:355;width:342;height:1228" filled="f" strokeweight=".65pt"/>
              <v:rect id="_x0000_s1765" style="position:absolute;left:1818;top:-238;width:355;height:14" fillcolor="#ff0300" stroked="f"/>
              <v:rect id="_x0000_s1766" style="position:absolute;left:1818;top:-224;width:355;height:14" fillcolor="#ff0800" stroked="f"/>
              <v:rect id="_x0000_s1767" style="position:absolute;left:1818;top:-210;width:355;height:14" fillcolor="#ff0d00" stroked="f"/>
              <v:rect id="_x0000_s1768" style="position:absolute;left:1818;top:-196;width:355;height:14" fillcolor="#ff1000" stroked="f"/>
              <v:rect id="_x0000_s1769" style="position:absolute;left:1818;top:-182;width:355;height:28" fillcolor="#ff1300" stroked="f"/>
              <v:rect id="_x0000_s1770" style="position:absolute;left:1818;top:-154;width:355;height:14" fillcolor="#ff1600" stroked="f"/>
              <v:rect id="_x0000_s1771" style="position:absolute;left:1818;top:-140;width:355;height:15" fillcolor="#ff1800" stroked="f"/>
              <v:rect id="_x0000_s1772" style="position:absolute;left:1818;top:-125;width:355;height:28" fillcolor="#ff1a00" stroked="f"/>
              <v:rect id="_x0000_s1773" style="position:absolute;left:1818;top:-97;width:355;height:28" fillcolor="#ff1d00" stroked="f"/>
              <v:rect id="_x0000_s1774" style="position:absolute;left:1818;top:-69;width:355;height:14" fillcolor="#ff2000" stroked="f"/>
              <v:rect id="_x0000_s1775" style="position:absolute;left:1818;top:-55;width:355;height:28" fillcolor="#f20" stroked="f"/>
              <v:rect id="_x0000_s1776" style="position:absolute;left:1818;top:-27;width:355;height:14" fillcolor="#ff2400" stroked="f"/>
              <v:rect id="_x0000_s1777" style="position:absolute;left:1818;top:-13;width:355;height:15" fillcolor="#ff2600" stroked="f"/>
              <v:rect id="_x0000_s1778" style="position:absolute;left:1818;top:2;width:355;height:14" fillcolor="#ff2800" stroked="f"/>
              <v:rect id="_x0000_s1779" style="position:absolute;left:1818;top:16;width:355;height:14" fillcolor="#ff2a00" stroked="f"/>
              <v:rect id="_x0000_s1780" style="position:absolute;left:1818;top:30;width:355;height:28" fillcolor="#ff2c00" stroked="f"/>
              <v:rect id="_x0000_s1781" style="position:absolute;left:1818;top:58;width:355;height:28" fillcolor="#ff2e00" stroked="f"/>
              <v:rect id="_x0000_s1782" style="position:absolute;left:1818;top:86;width:355;height:14" fillcolor="#ff3100" stroked="f"/>
              <v:rect id="_x0000_s1783" style="position:absolute;left:1818;top:100;width:355;height:15" fillcolor="#f30" stroked="f"/>
              <v:rect id="_x0000_s1784" style="position:absolute;left:1818;top:115;width:355;height:28" fillcolor="#ff3500" stroked="f"/>
              <v:rect id="_x0000_s1785" style="position:absolute;left:1818;top:143;width:355;height:14" fillcolor="#ff3700" stroked="f"/>
              <v:rect id="_x0000_s1786" style="position:absolute;left:1818;top:157;width:355;height:14" fillcolor="#ff3900" stroked="f"/>
              <v:rect id="_x0000_s1787" style="position:absolute;left:1818;top:171;width:355;height:28" fillcolor="#ff3b00" stroked="f"/>
              <v:rect id="_x0000_s1788" style="position:absolute;left:1818;top:199;width:355;height:29" fillcolor="#ff3e00" stroked="f"/>
              <v:rect id="_x0000_s1789" style="position:absolute;left:1818;top:228;width:355;height:28" fillcolor="#ff4100" stroked="f"/>
              <v:rect id="_x0000_s1790" style="position:absolute;left:1818;top:256;width:355;height:14" fillcolor="#f40" stroked="f"/>
              <v:rect id="_x0000_s1791" style="position:absolute;left:1818;top:270;width:355;height:14" fillcolor="#ff4600" stroked="f"/>
              <v:rect id="_x0000_s1792" style="position:absolute;left:1818;top:284;width:355;height:28" fillcolor="#ff4800" stroked="f"/>
              <v:rect id="_x0000_s1793" style="position:absolute;left:1818;top:312;width:355;height:28" fillcolor="#ff4b00" stroked="f"/>
              <v:rect id="_x0000_s1794" style="position:absolute;left:1818;top:340;width:355;height:29" fillcolor="#ff4e00" stroked="f"/>
              <v:rect id="_x0000_s1795" style="position:absolute;left:1818;top:369;width:355;height:28" fillcolor="#ff5100" stroked="f"/>
              <v:rect id="_x0000_s1796" style="position:absolute;left:1818;top:397;width:355;height:28" fillcolor="#ff5400" stroked="f"/>
              <v:rect id="_x0000_s1797" style="position:absolute;left:1818;top:425;width:355;height:14" fillcolor="#ff5700" stroked="f"/>
              <v:rect id="_x0000_s1798" style="position:absolute;left:1818;top:439;width:355;height:29" fillcolor="#ff5900" stroked="f"/>
              <v:rect id="_x0000_s1799" style="position:absolute;left:1818;top:468;width:355;height:14" fillcolor="#ff5b00" stroked="f"/>
              <v:rect id="_x0000_s1800" style="position:absolute;left:1818;top:482;width:355;height:28" fillcolor="#ff5d00" stroked="f"/>
              <v:rect id="_x0000_s1801" style="position:absolute;left:1818;top:510;width:355;height:14" fillcolor="#ff6000" stroked="f"/>
              <v:rect id="_x0000_s1802" style="position:absolute;left:1818;top:524;width:355;height:14" fillcolor="#ff6200" stroked="f"/>
              <v:rect id="_x0000_s1803" style="position:absolute;left:1818;top:538;width:355;height:28" fillcolor="#ff6400" stroked="f"/>
              <v:rect id="_x0000_s1804" style="position:absolute;left:1818;top:566;width:355;height:29" fillcolor="#f60" stroked="f"/>
              <v:rect id="_x0000_s1805" style="position:absolute;left:1818;top:595;width:355;height:28" fillcolor="#ff6900" stroked="f"/>
              <v:rect id="_x0000_s1806" style="position:absolute;left:1818;top:623;width:355;height:28" fillcolor="#ff6c00" stroked="f"/>
              <v:rect id="_x0000_s1807" style="position:absolute;left:1818;top:651;width:355;height:28" fillcolor="#ff6f00" stroked="f"/>
              <v:rect id="_x0000_s1808" style="position:absolute;left:1818;top:679;width:355;height:29" fillcolor="#ff7100" stroked="f"/>
              <v:rect id="_x0000_s1809" style="position:absolute;left:1818;top:708;width:355;height:14" fillcolor="#ff7300" stroked="f"/>
              <v:rect id="_x0000_s1810" style="position:absolute;left:1818;top:722;width:355;height:28" fillcolor="#ff7500" stroked="f"/>
              <v:rect id="_x0000_s1811" style="position:absolute;left:1818;top:750;width:355;height:28" fillcolor="#f70" stroked="f"/>
              <v:rect id="_x0000_s1812" style="position:absolute;left:1818;top:778;width:355;height:28" fillcolor="#ff7a00" stroked="f"/>
              <v:rect id="_x0000_s1813" style="position:absolute;left:1818;top:806;width:355;height:29" fillcolor="#ff7c00" stroked="f"/>
              <v:rect id="_x0000_s1814" style="position:absolute;left:1818;top:835;width:355;height:28" fillcolor="#ff7e00" stroked="f"/>
              <v:rect id="_x0000_s1815" style="position:absolute;left:1818;top:863;width:355;height:28" fillcolor="#ff8000" stroked="f"/>
              <v:rect id="_x0000_s1816" style="position:absolute;left:1818;top:891;width:355;height:28" fillcolor="#ff8200" stroked="f"/>
              <v:rect id="_x0000_s1817" style="position:absolute;left:1818;top:919;width:355;height:29" fillcolor="#ff8400" stroked="f"/>
              <v:rect id="_x0000_s1818" style="position:absolute;left:1818;top:948;width:355;height:28" fillcolor="#ff8600" stroked="f"/>
              <v:rect id="_x0000_s1819" style="position:absolute;left:1818;top:976;width:355;height:42" fillcolor="#f80" stroked="f"/>
              <v:rect id="_x0000_s1820" style="position:absolute;left:1818;top:1018;width:355;height:43" fillcolor="#ff8a00" stroked="f"/>
              <v:rect id="_x0000_s1821" style="position:absolute;left:1818;top:1061;width:355;height:28" fillcolor="#ff8c00" stroked="f"/>
              <v:rect id="_x0000_s1822" style="position:absolute;left:1818;top:1089;width:355;height:56" fillcolor="#ff8e00" stroked="f"/>
              <v:rect id="_x0000_s1823" style="position:absolute;left:1818;top:1145;width:355;height:57" fillcolor="#ff9000" stroked="f"/>
              <v:rect id="_x0000_s1824" style="position:absolute;left:1818;top:1202;width:355;height:56" fillcolor="#ff9200" stroked="f"/>
              <v:rect id="_x0000_s1825" style="position:absolute;left:1818;top:1258;width:355;height:85" fillcolor="#ff9400" stroked="f"/>
              <v:rect id="_x0000_s1826" style="position:absolute;left:1818;top:1343;width:355;height:113" fillcolor="#ff9600" stroked="f"/>
              <v:rect id="_x0000_s1827" style="position:absolute;left:1818;top:1456;width:355;height:127" fillcolor="#f90" stroked="f"/>
              <v:rect id="_x0000_s1828" style="position:absolute;left:1818;top:-238;width:355;height:1821" filled="f" strokeweight=".65pt"/>
              <v:rect id="_x0000_s1829" style="position:absolute;left:2437;top:100;width:342;height:15" fillcolor="#ff0300" stroked="f"/>
              <v:rect id="_x0000_s1830" style="position:absolute;left:2437;top:115;width:342;height:14" fillcolor="#ff0a00" stroked="f"/>
              <v:rect id="_x0000_s1831" style="position:absolute;left:2437;top:129;width:342;height:14" fillcolor="#ff0f00" stroked="f"/>
              <v:rect id="_x0000_s1832" style="position:absolute;left:2437;top:143;width:342;height:14" fillcolor="#ff1200" stroked="f"/>
            </v:group>
            <v:group id="_x0000_s1833" style="position:absolute;left:2437;top:100;width:1554;height:1483" coordorigin="2437,100" coordsize="1554,1483">
              <v:rect id="_x0000_s1834" style="position:absolute;left:2437;top:157;width:342;height:14" fillcolor="#ff1400" stroked="f"/>
              <v:rect id="_x0000_s1835" style="position:absolute;left:2437;top:171;width:342;height:14" fillcolor="#ff1600" stroked="f"/>
              <v:rect id="_x0000_s1836" style="position:absolute;left:2437;top:185;width:342;height:14" fillcolor="#ff1900" stroked="f"/>
              <v:rect id="_x0000_s1837" style="position:absolute;left:2437;top:199;width:342;height:14" fillcolor="#ff1b00" stroked="f"/>
              <v:rect id="_x0000_s1838" style="position:absolute;left:2437;top:213;width:342;height:15" fillcolor="#ff1d00" stroked="f"/>
              <v:rect id="_x0000_s1839" style="position:absolute;left:2437;top:228;width:342;height:14" fillcolor="#ff1e00" stroked="f"/>
              <v:rect id="_x0000_s1840" style="position:absolute;left:2437;top:242;width:342;height:14" fillcolor="#ff2100" stroked="f"/>
              <v:rect id="_x0000_s1841" style="position:absolute;left:2437;top:256;width:342;height:14" fillcolor="#ff2300" stroked="f"/>
              <v:rect id="_x0000_s1842" style="position:absolute;left:2437;top:270;width:342;height:14" fillcolor="#ff2400" stroked="f"/>
              <v:rect id="_x0000_s1843" style="position:absolute;left:2437;top:284;width:342;height:14" fillcolor="#ff2600" stroked="f"/>
              <v:rect id="_x0000_s1844" style="position:absolute;left:2437;top:298;width:342;height:14" fillcolor="#ff2800" stroked="f"/>
              <v:rect id="_x0000_s1845" style="position:absolute;left:2437;top:312;width:342;height:14" fillcolor="#ff2b00" stroked="f"/>
              <v:rect id="_x0000_s1846" style="position:absolute;left:2437;top:326;width:342;height:14" fillcolor="#ff2d00" stroked="f"/>
              <v:rect id="_x0000_s1847" style="position:absolute;left:2437;top:340;width:342;height:15" fillcolor="#ff2e00" stroked="f"/>
              <v:rect id="_x0000_s1848" style="position:absolute;left:2437;top:355;width:342;height:14" fillcolor="#ff3000" stroked="f"/>
              <v:rect id="_x0000_s1849" style="position:absolute;left:2437;top:369;width:342;height:14" fillcolor="#ff3200" stroked="f"/>
              <v:rect id="_x0000_s1850" style="position:absolute;left:2437;top:383;width:342;height:14" fillcolor="#ff3400" stroked="f"/>
              <v:rect id="_x0000_s1851" style="position:absolute;left:2437;top:397;width:342;height:14" fillcolor="#ff3600" stroked="f"/>
              <v:rect id="_x0000_s1852" style="position:absolute;left:2437;top:411;width:342;height:14" fillcolor="#ff3700" stroked="f"/>
              <v:rect id="_x0000_s1853" style="position:absolute;left:2437;top:425;width:342;height:14" fillcolor="#ff3900" stroked="f"/>
              <v:rect id="_x0000_s1854" style="position:absolute;left:2437;top:439;width:342;height:14" fillcolor="#ff3c00" stroked="f"/>
              <v:rect id="_x0000_s1855" style="position:absolute;left:2437;top:453;width:342;height:15" fillcolor="#ff3e00" stroked="f"/>
              <v:rect id="_x0000_s1856" style="position:absolute;left:2437;top:468;width:342;height:14" fillcolor="#ff3f00" stroked="f"/>
              <v:rect id="_x0000_s1857" style="position:absolute;left:2437;top:482;width:342;height:14" fillcolor="#ff4100" stroked="f"/>
              <v:rect id="_x0000_s1858" style="position:absolute;left:2437;top:496;width:342;height:14" fillcolor="#ff4300" stroked="f"/>
              <v:rect id="_x0000_s1859" style="position:absolute;left:2437;top:510;width:342;height:14" fillcolor="#ff4600" stroked="f"/>
              <v:rect id="_x0000_s1860" style="position:absolute;left:2437;top:524;width:342;height:14" fillcolor="#ff4800" stroked="f"/>
              <v:rect id="_x0000_s1861" style="position:absolute;left:2437;top:538;width:342;height:14" fillcolor="#ff4a00" stroked="f"/>
              <v:rect id="_x0000_s1862" style="position:absolute;left:2437;top:552;width:342;height:14" fillcolor="#ff4b00" stroked="f"/>
              <v:rect id="_x0000_s1863" style="position:absolute;left:2437;top:566;width:342;height:15" fillcolor="#ff4d00" stroked="f"/>
              <v:rect id="_x0000_s1864" style="position:absolute;left:2437;top:581;width:342;height:14" fillcolor="#ff4f00" stroked="f"/>
              <v:rect id="_x0000_s1865" style="position:absolute;left:2437;top:595;width:342;height:14" fillcolor="#ff5100" stroked="f"/>
              <v:rect id="_x0000_s1866" style="position:absolute;left:2437;top:609;width:342;height:14" fillcolor="#ff5300" stroked="f"/>
              <v:rect id="_x0000_s1867" style="position:absolute;left:2437;top:623;width:342;height:14" fillcolor="#f50" stroked="f"/>
              <v:rect id="_x0000_s1868" style="position:absolute;left:2437;top:637;width:342;height:14" fillcolor="#ff5700" stroked="f"/>
              <v:rect id="_x0000_s1869" style="position:absolute;left:2437;top:651;width:342;height:14" fillcolor="#ff5900" stroked="f"/>
              <v:rect id="_x0000_s1870" style="position:absolute;left:2437;top:665;width:342;height:14" fillcolor="#ff5a00" stroked="f"/>
              <v:rect id="_x0000_s1871" style="position:absolute;left:2437;top:679;width:342;height:14" fillcolor="#ff5c00" stroked="f"/>
              <v:rect id="_x0000_s1872" style="position:absolute;left:2437;top:693;width:342;height:15" fillcolor="#ff5e00" stroked="f"/>
              <v:rect id="_x0000_s1873" style="position:absolute;left:2437;top:708;width:342;height:14" fillcolor="#ff6000" stroked="f"/>
              <v:rect id="_x0000_s1874" style="position:absolute;left:2437;top:722;width:342;height:14" fillcolor="#ff6200" stroked="f"/>
              <v:rect id="_x0000_s1875" style="position:absolute;left:2437;top:736;width:342;height:14" fillcolor="#ff6400" stroked="f"/>
              <v:rect id="_x0000_s1876" style="position:absolute;left:2437;top:750;width:342;height:14" fillcolor="#f60" stroked="f"/>
              <v:rect id="_x0000_s1877" style="position:absolute;left:2437;top:764;width:342;height:14" fillcolor="#ff6700" stroked="f"/>
              <v:rect id="_x0000_s1878" style="position:absolute;left:2437;top:778;width:342;height:14" fillcolor="#ff6900" stroked="f"/>
              <v:rect id="_x0000_s1879" style="position:absolute;left:2437;top:792;width:342;height:14" fillcolor="#ff6b00" stroked="f"/>
              <v:rect id="_x0000_s1880" style="position:absolute;left:2437;top:806;width:342;height:15" fillcolor="#ff6c00" stroked="f"/>
              <v:rect id="_x0000_s1881" style="position:absolute;left:2437;top:821;width:342;height:14" fillcolor="#ff6e00" stroked="f"/>
              <v:rect id="_x0000_s1882" style="position:absolute;left:2437;top:835;width:342;height:14" fillcolor="#ff7000" stroked="f"/>
              <v:rect id="_x0000_s1883" style="position:absolute;left:2437;top:849;width:342;height:14" fillcolor="#ff7100" stroked="f"/>
              <v:rect id="_x0000_s1884" style="position:absolute;left:2437;top:863;width:342;height:14" fillcolor="#ff7300" stroked="f"/>
              <v:rect id="_x0000_s1885" style="position:absolute;left:2437;top:877;width:342;height:14" fillcolor="#ff7400" stroked="f"/>
              <v:rect id="_x0000_s1886" style="position:absolute;left:2437;top:891;width:342;height:14" fillcolor="#ff7600" stroked="f"/>
              <v:rect id="_x0000_s1887" style="position:absolute;left:2437;top:905;width:342;height:14" fillcolor="#f70" stroked="f"/>
              <v:rect id="_x0000_s1888" style="position:absolute;left:2437;top:919;width:342;height:15" fillcolor="#ff7900" stroked="f"/>
              <v:rect id="_x0000_s1889" style="position:absolute;left:2437;top:934;width:342;height:14" fillcolor="#ff7b00" stroked="f"/>
              <v:rect id="_x0000_s1890" style="position:absolute;left:2437;top:948;width:342;height:14" fillcolor="#ff7c00" stroked="f"/>
              <v:rect id="_x0000_s1891" style="position:absolute;left:2437;top:962;width:342;height:14" fillcolor="#ff7d00" stroked="f"/>
              <v:rect id="_x0000_s1892" style="position:absolute;left:2437;top:976;width:342;height:14" fillcolor="#ff7e00" stroked="f"/>
              <v:rect id="_x0000_s1893" style="position:absolute;left:2437;top:990;width:342;height:14" fillcolor="#ff7f00" stroked="f"/>
              <v:rect id="_x0000_s1894" style="position:absolute;left:2437;top:1004;width:342;height:14" fillcolor="#ff8100" stroked="f"/>
              <v:rect id="_x0000_s1895" style="position:absolute;left:2437;top:1018;width:342;height:14" fillcolor="#ff8200" stroked="f"/>
              <v:rect id="_x0000_s1896" style="position:absolute;left:2437;top:1032;width:342;height:14" fillcolor="#ff8300" stroked="f"/>
              <v:rect id="_x0000_s1897" style="position:absolute;left:2437;top:1046;width:342;height:15" fillcolor="#ff8400" stroked="f"/>
              <v:rect id="_x0000_s1898" style="position:absolute;left:2437;top:1061;width:342;height:14" fillcolor="#ff8600" stroked="f"/>
              <v:rect id="_x0000_s1899" style="position:absolute;left:2437;top:1075;width:342;height:14" fillcolor="#ff8700" stroked="f"/>
              <v:rect id="_x0000_s1900" style="position:absolute;left:2437;top:1089;width:342;height:14" fillcolor="#f80" stroked="f"/>
              <v:rect id="_x0000_s1901" style="position:absolute;left:2437;top:1103;width:342;height:28" fillcolor="#ff8900" stroked="f"/>
              <v:rect id="_x0000_s1902" style="position:absolute;left:2437;top:1131;width:342;height:28" fillcolor="#ff8b00" stroked="f"/>
              <v:rect id="_x0000_s1903" style="position:absolute;left:2437;top:1159;width:342;height:15" fillcolor="#ff8c00" stroked="f"/>
              <v:rect id="_x0000_s1904" style="position:absolute;left:2437;top:1174;width:342;height:14" fillcolor="#ff8d00" stroked="f"/>
              <v:rect id="_x0000_s1905" style="position:absolute;left:2437;top:1188;width:342;height:14" fillcolor="#ff8e00" stroked="f"/>
              <v:rect id="_x0000_s1906" style="position:absolute;left:2437;top:1202;width:342;height:28" fillcolor="#ff8f00" stroked="f"/>
              <v:rect id="_x0000_s1907" style="position:absolute;left:2437;top:1230;width:342;height:14" fillcolor="#ff9000" stroked="f"/>
              <v:rect id="_x0000_s1908" style="position:absolute;left:2437;top:1244;width:342;height:28" fillcolor="#ff9100" stroked="f"/>
              <v:rect id="_x0000_s1909" style="position:absolute;left:2437;top:1272;width:342;height:15" fillcolor="#ff9200" stroked="f"/>
              <v:rect id="_x0000_s1910" style="position:absolute;left:2437;top:1287;width:342;height:28" fillcolor="#ff9300" stroked="f"/>
              <v:rect id="_x0000_s1911" style="position:absolute;left:2437;top:1315;width:342;height:42" fillcolor="#ff9400" stroked="f"/>
              <v:rect id="_x0000_s1912" style="position:absolute;left:2437;top:1357;width:342;height:28" fillcolor="#ff9500" stroked="f"/>
              <v:rect id="_x0000_s1913" style="position:absolute;left:2437;top:1385;width:342;height:43" fillcolor="#ff9600" stroked="f"/>
              <v:rect id="_x0000_s1914" style="position:absolute;left:2437;top:1428;width:342;height:56" fillcolor="#ff9700" stroked="f"/>
              <v:rect id="_x0000_s1915" style="position:absolute;left:2437;top:1484;width:342;height:71" fillcolor="#ff9800" stroked="f"/>
              <v:rect id="_x0000_s1916" style="position:absolute;left:2437;top:1555;width:342;height:28" fillcolor="#f90" stroked="f"/>
              <v:rect id="_x0000_s1917" style="position:absolute;left:2437;top:100;width:342;height:1483" filled="f" strokeweight=".65pt"/>
              <v:rect id="_x0000_s1918" style="position:absolute;left:3042;top:185;width:343;height:14" fillcolor="#ff0400" stroked="f"/>
              <v:rect id="_x0000_s1919" style="position:absolute;left:3042;top:199;width:343;height:14" fillcolor="#ff0b00" stroked="f"/>
              <v:rect id="_x0000_s1920" style="position:absolute;left:3042;top:213;width:343;height:15" fillcolor="#ff0f00" stroked="f"/>
              <v:rect id="_x0000_s1921" style="position:absolute;left:3042;top:228;width:343;height:14" fillcolor="#ff1300" stroked="f"/>
              <v:rect id="_x0000_s1922" style="position:absolute;left:3042;top:242;width:343;height:14" fillcolor="#ff1500" stroked="f"/>
              <v:rect id="_x0000_s1923" style="position:absolute;left:3042;top:256;width:343;height:14" fillcolor="#ff1700" stroked="f"/>
              <v:rect id="_x0000_s1924" style="position:absolute;left:3042;top:270;width:343;height:14" fillcolor="#ff1a00" stroked="f"/>
              <v:rect id="_x0000_s1925" style="position:absolute;left:3042;top:284;width:343;height:14" fillcolor="#ff1c00" stroked="f"/>
              <v:rect id="_x0000_s1926" style="position:absolute;left:3042;top:298;width:343;height:14" fillcolor="#ff1d00" stroked="f"/>
              <v:rect id="_x0000_s1927" style="position:absolute;left:3042;top:312;width:343;height:14" fillcolor="#ff2000" stroked="f"/>
              <v:rect id="_x0000_s1928" style="position:absolute;left:3042;top:326;width:343;height:14" fillcolor="#f20" stroked="f"/>
              <v:rect id="_x0000_s1929" style="position:absolute;left:3042;top:340;width:343;height:15" fillcolor="#ff2400" stroked="f"/>
              <v:rect id="_x0000_s1930" style="position:absolute;left:3042;top:355;width:343;height:14" fillcolor="#ff2500" stroked="f"/>
              <v:rect id="_x0000_s1931" style="position:absolute;left:3042;top:369;width:343;height:14" fillcolor="#ff2800" stroked="f"/>
              <v:rect id="_x0000_s1932" style="position:absolute;left:3042;top:383;width:343;height:14" fillcolor="#ff2a00" stroked="f"/>
              <v:rect id="_x0000_s1933" style="position:absolute;left:3042;top:397;width:343;height:14" fillcolor="#ff2d00" stroked="f"/>
              <v:rect id="_x0000_s1934" style="position:absolute;left:3042;top:411;width:343;height:14" fillcolor="#ff2e00" stroked="f"/>
              <v:rect id="_x0000_s1935" style="position:absolute;left:3042;top:425;width:343;height:14" fillcolor="#ff3000" stroked="f"/>
              <v:rect id="_x0000_s1936" style="position:absolute;left:3042;top:439;width:343;height:14" fillcolor="#ff3200" stroked="f"/>
              <v:rect id="_x0000_s1937" style="position:absolute;left:3042;top:453;width:343;height:15" fillcolor="#ff3400" stroked="f"/>
              <v:rect id="_x0000_s1938" style="position:absolute;left:3042;top:468;width:343;height:14" fillcolor="#ff3700" stroked="f"/>
              <v:rect id="_x0000_s1939" style="position:absolute;left:3042;top:482;width:343;height:14" fillcolor="#ff3800" stroked="f"/>
              <v:rect id="_x0000_s1940" style="position:absolute;left:3042;top:496;width:343;height:14" fillcolor="#ff3a00" stroked="f"/>
              <v:rect id="_x0000_s1941" style="position:absolute;left:3042;top:510;width:343;height:14" fillcolor="#ff3d00" stroked="f"/>
              <v:rect id="_x0000_s1942" style="position:absolute;left:3042;top:524;width:343;height:14" fillcolor="#ff3f00" stroked="f"/>
              <v:rect id="_x0000_s1943" style="position:absolute;left:3042;top:538;width:343;height:14" fillcolor="#ff4000" stroked="f"/>
              <v:rect id="_x0000_s1944" style="position:absolute;left:3042;top:552;width:343;height:14" fillcolor="#ff4300" stroked="f"/>
              <v:rect id="_x0000_s1945" style="position:absolute;left:3042;top:566;width:343;height:15" fillcolor="#ff4500" stroked="f"/>
              <v:rect id="_x0000_s1946" style="position:absolute;left:3042;top:581;width:343;height:14" fillcolor="#ff4700" stroked="f"/>
              <v:rect id="_x0000_s1947" style="position:absolute;left:3042;top:595;width:343;height:14" fillcolor="#ff4900" stroked="f"/>
              <v:rect id="_x0000_s1948" style="position:absolute;left:3042;top:609;width:343;height:14" fillcolor="#ff4b00" stroked="f"/>
              <v:rect id="_x0000_s1949" style="position:absolute;left:3042;top:623;width:343;height:14" fillcolor="#ff4d00" stroked="f"/>
              <v:rect id="_x0000_s1950" style="position:absolute;left:3042;top:637;width:343;height:14" fillcolor="#ff4f00" stroked="f"/>
              <v:rect id="_x0000_s1951" style="position:absolute;left:3042;top:651;width:343;height:14" fillcolor="#ff5100" stroked="f"/>
              <v:rect id="_x0000_s1952" style="position:absolute;left:3042;top:665;width:343;height:14" fillcolor="#ff5300" stroked="f"/>
              <v:rect id="_x0000_s1953" style="position:absolute;left:3042;top:679;width:343;height:14" fillcolor="#f50" stroked="f"/>
              <v:rect id="_x0000_s1954" style="position:absolute;left:3042;top:693;width:343;height:15" fillcolor="#ff5700" stroked="f"/>
              <v:rect id="_x0000_s1955" style="position:absolute;left:3042;top:708;width:343;height:14" fillcolor="#ff5900" stroked="f"/>
              <v:rect id="_x0000_s1956" style="position:absolute;left:3042;top:722;width:343;height:14" fillcolor="#ff5b00" stroked="f"/>
              <v:rect id="_x0000_s1957" style="position:absolute;left:3042;top:736;width:343;height:14" fillcolor="#ff5d00" stroked="f"/>
              <v:rect id="_x0000_s1958" style="position:absolute;left:3042;top:750;width:343;height:14" fillcolor="#ff5f00" stroked="f"/>
              <v:rect id="_x0000_s1959" style="position:absolute;left:3042;top:764;width:343;height:14" fillcolor="#ff6100" stroked="f"/>
              <v:rect id="_x0000_s1960" style="position:absolute;left:3042;top:778;width:343;height:14" fillcolor="#ff6300" stroked="f"/>
              <v:rect id="_x0000_s1961" style="position:absolute;left:3042;top:792;width:343;height:14" fillcolor="#ff6500" stroked="f"/>
              <v:rect id="_x0000_s1962" style="position:absolute;left:3042;top:806;width:343;height:15" fillcolor="#ff6700" stroked="f"/>
              <v:rect id="_x0000_s1963" style="position:absolute;left:3042;top:821;width:343;height:14" fillcolor="#ff6800" stroked="f"/>
              <v:rect id="_x0000_s1964" style="position:absolute;left:3042;top:835;width:343;height:14" fillcolor="#ff6a00" stroked="f"/>
              <v:rect id="_x0000_s1965" style="position:absolute;left:3042;top:849;width:343;height:14" fillcolor="#ff6c00" stroked="f"/>
              <v:rect id="_x0000_s1966" style="position:absolute;left:3042;top:863;width:343;height:14" fillcolor="#ff6e00" stroked="f"/>
              <v:rect id="_x0000_s1967" style="position:absolute;left:3042;top:877;width:343;height:14" fillcolor="#ff7000" stroked="f"/>
              <v:rect id="_x0000_s1968" style="position:absolute;left:3042;top:891;width:343;height:14" fillcolor="#ff7100" stroked="f"/>
              <v:rect id="_x0000_s1969" style="position:absolute;left:3042;top:905;width:343;height:14" fillcolor="#ff7300" stroked="f"/>
              <v:rect id="_x0000_s1970" style="position:absolute;left:3042;top:919;width:343;height:15" fillcolor="#ff7500" stroked="f"/>
              <v:rect id="_x0000_s1971" style="position:absolute;left:3042;top:934;width:343;height:14" fillcolor="#ff7600" stroked="f"/>
              <v:rect id="_x0000_s1972" style="position:absolute;left:3042;top:948;width:343;height:14" fillcolor="#ff7800" stroked="f"/>
              <v:rect id="_x0000_s1973" style="position:absolute;left:3042;top:962;width:343;height:14" fillcolor="#ff7a00" stroked="f"/>
              <v:rect id="_x0000_s1974" style="position:absolute;left:3042;top:976;width:343;height:14" fillcolor="#ff7b00" stroked="f"/>
              <v:rect id="_x0000_s1975" style="position:absolute;left:3042;top:990;width:343;height:14" fillcolor="#ff7c00" stroked="f"/>
              <v:rect id="_x0000_s1976" style="position:absolute;left:3042;top:1004;width:343;height:14" fillcolor="#ff7e00" stroked="f"/>
              <v:rect id="_x0000_s1977" style="position:absolute;left:3042;top:1018;width:343;height:14" fillcolor="#ff7f00" stroked="f"/>
              <v:rect id="_x0000_s1978" style="position:absolute;left:3042;top:1032;width:343;height:14" fillcolor="#ff8000" stroked="f"/>
              <v:rect id="_x0000_s1979" style="position:absolute;left:3042;top:1046;width:343;height:15" fillcolor="#ff8200" stroked="f"/>
              <v:rect id="_x0000_s1980" style="position:absolute;left:3042;top:1061;width:343;height:14" fillcolor="#ff8300" stroked="f"/>
              <v:rect id="_x0000_s1981" style="position:absolute;left:3042;top:1075;width:343;height:14" fillcolor="#ff8400" stroked="f"/>
              <v:rect id="_x0000_s1982" style="position:absolute;left:3042;top:1089;width:343;height:14" fillcolor="#ff8500" stroked="f"/>
              <v:rect id="_x0000_s1983" style="position:absolute;left:3042;top:1103;width:343;height:14" fillcolor="#ff8700" stroked="f"/>
              <v:rect id="_x0000_s1984" style="position:absolute;left:3042;top:1117;width:343;height:14" fillcolor="#f80" stroked="f"/>
              <v:rect id="_x0000_s1985" style="position:absolute;left:3042;top:1131;width:343;height:14" fillcolor="#ff8900" stroked="f"/>
              <v:rect id="_x0000_s1986" style="position:absolute;left:3042;top:1145;width:343;height:14" fillcolor="#ff8a00" stroked="f"/>
              <v:rect id="_x0000_s1987" style="position:absolute;left:3042;top:1159;width:343;height:15" fillcolor="#ff8b00" stroked="f"/>
              <v:rect id="_x0000_s1988" style="position:absolute;left:3042;top:1174;width:343;height:28" fillcolor="#ff8c00" stroked="f"/>
              <v:rect id="_x0000_s1989" style="position:absolute;left:3042;top:1202;width:343;height:14" fillcolor="#ff8e00" stroked="f"/>
              <v:rect id="_x0000_s1990" style="position:absolute;left:3042;top:1216;width:343;height:28" fillcolor="#ff8f00" stroked="f"/>
              <v:rect id="_x0000_s1991" style="position:absolute;left:3042;top:1244;width:343;height:28" fillcolor="#ff9000" stroked="f"/>
              <v:rect id="_x0000_s1992" style="position:absolute;left:3042;top:1272;width:343;height:15" fillcolor="#ff9100" stroked="f"/>
              <v:rect id="_x0000_s1993" style="position:absolute;left:3042;top:1287;width:343;height:28" fillcolor="#ff9200" stroked="f"/>
              <v:rect id="_x0000_s1994" style="position:absolute;left:3042;top:1315;width:343;height:14" fillcolor="#ff9300" stroked="f"/>
              <v:rect id="_x0000_s1995" style="position:absolute;left:3042;top:1329;width:343;height:42" fillcolor="#ff9400" stroked="f"/>
              <v:rect id="_x0000_s1996" style="position:absolute;left:3042;top:1371;width:343;height:28" fillcolor="#ff9500" stroked="f"/>
              <v:rect id="_x0000_s1997" style="position:absolute;left:3042;top:1399;width:343;height:43" fillcolor="#ff9600" stroked="f"/>
              <v:rect id="_x0000_s1998" style="position:absolute;left:3042;top:1442;width:343;height:42" fillcolor="#ff9700" stroked="f"/>
              <v:rect id="_x0000_s1999" style="position:absolute;left:3042;top:1484;width:343;height:71" fillcolor="#ff9800" stroked="f"/>
              <v:rect id="_x0000_s2000" style="position:absolute;left:3042;top:1555;width:343;height:28" fillcolor="#f90" stroked="f"/>
              <v:rect id="_x0000_s2001" style="position:absolute;left:3042;top:185;width:343;height:1398" filled="f" strokeweight=".65pt"/>
              <v:rect id="_x0000_s2002" style="position:absolute;left:3648;top:355;width:343;height:14" fillcolor="#ff0400" stroked="f"/>
              <v:rect id="_x0000_s2003" style="position:absolute;left:3648;top:369;width:343;height:14" fillcolor="#ff0c00" stroked="f"/>
              <v:rect id="_x0000_s2004" style="position:absolute;left:3648;top:383;width:343;height:14" fillcolor="#f10" stroked="f"/>
              <v:rect id="_x0000_s2005" style="position:absolute;left:3648;top:397;width:343;height:14" fillcolor="#ff1400" stroked="f"/>
              <v:rect id="_x0000_s2006" style="position:absolute;left:3648;top:411;width:343;height:14" fillcolor="#ff1600" stroked="f"/>
              <v:rect id="_x0000_s2007" style="position:absolute;left:3648;top:425;width:343;height:14" fillcolor="#ff1900" stroked="f"/>
              <v:rect id="_x0000_s2008" style="position:absolute;left:3648;top:439;width:343;height:14" fillcolor="#ff1b00" stroked="f"/>
              <v:rect id="_x0000_s2009" style="position:absolute;left:3648;top:453;width:343;height:15" fillcolor="#ff1e00" stroked="f"/>
              <v:rect id="_x0000_s2010" style="position:absolute;left:3648;top:468;width:343;height:14" fillcolor="#ff2000" stroked="f"/>
              <v:rect id="_x0000_s2011" style="position:absolute;left:3648;top:482;width:343;height:14" fillcolor="#ff2300" stroked="f"/>
              <v:rect id="_x0000_s2012" style="position:absolute;left:3648;top:496;width:343;height:14" fillcolor="#ff2400" stroked="f"/>
              <v:rect id="_x0000_s2013" style="position:absolute;left:3648;top:510;width:343;height:14" fillcolor="#ff2700" stroked="f"/>
              <v:rect id="_x0000_s2014" style="position:absolute;left:3648;top:524;width:343;height:14" fillcolor="#ff2a00" stroked="f"/>
              <v:rect id="_x0000_s2015" style="position:absolute;left:3648;top:538;width:343;height:14" fillcolor="#ff2d00" stroked="f"/>
              <v:rect id="_x0000_s2016" style="position:absolute;left:3648;top:552;width:343;height:14" fillcolor="#ff2e00" stroked="f"/>
              <v:rect id="_x0000_s2017" style="position:absolute;left:3648;top:566;width:343;height:15" fillcolor="#ff3000" stroked="f"/>
              <v:rect id="_x0000_s2018" style="position:absolute;left:3648;top:581;width:343;height:14" fillcolor="#f30" stroked="f"/>
              <v:rect id="_x0000_s2019" style="position:absolute;left:3648;top:595;width:343;height:14" fillcolor="#ff3500" stroked="f"/>
              <v:rect id="_x0000_s2020" style="position:absolute;left:3648;top:609;width:343;height:14" fillcolor="#ff3700" stroked="f"/>
              <v:rect id="_x0000_s2021" style="position:absolute;left:3648;top:623;width:343;height:14" fillcolor="#ff3900" stroked="f"/>
              <v:rect id="_x0000_s2022" style="position:absolute;left:3648;top:637;width:343;height:14" fillcolor="#ff3c00" stroked="f"/>
              <v:rect id="_x0000_s2023" style="position:absolute;left:3648;top:651;width:343;height:14" fillcolor="#ff3e00" stroked="f"/>
              <v:rect id="_x0000_s2024" style="position:absolute;left:3648;top:665;width:343;height:14" fillcolor="#ff4100" stroked="f"/>
              <v:rect id="_x0000_s2025" style="position:absolute;left:3648;top:679;width:343;height:14" fillcolor="#ff4300" stroked="f"/>
              <v:rect id="_x0000_s2026" style="position:absolute;left:3648;top:693;width:343;height:15" fillcolor="#ff4600" stroked="f"/>
              <v:rect id="_x0000_s2027" style="position:absolute;left:3648;top:708;width:343;height:14" fillcolor="#ff4800" stroked="f"/>
              <v:rect id="_x0000_s2028" style="position:absolute;left:3648;top:722;width:343;height:14" fillcolor="#ff4a00" stroked="f"/>
              <v:rect id="_x0000_s2029" style="position:absolute;left:3648;top:736;width:343;height:14" fillcolor="#ff4d00" stroked="f"/>
              <v:rect id="_x0000_s2030" style="position:absolute;left:3648;top:750;width:343;height:14" fillcolor="#ff4f00" stroked="f"/>
              <v:rect id="_x0000_s2031" style="position:absolute;left:3648;top:764;width:343;height:14" fillcolor="#ff5100" stroked="f"/>
              <v:rect id="_x0000_s2032" style="position:absolute;left:3648;top:778;width:343;height:14" fillcolor="#ff5300" stroked="f"/>
              <v:rect id="_x0000_s2033" style="position:absolute;left:3648;top:792;width:343;height:14" fillcolor="#ff5600" stroked="f"/>
            </v:group>
            <v:group id="_x0000_s2034" style="position:absolute;left:3648;top:340;width:2173;height:1243" coordorigin="3648,340" coordsize="2173,1243">
              <v:rect id="_x0000_s2035" style="position:absolute;left:3648;top:806;width:343;height:15" fillcolor="#ff5900" stroked="f"/>
              <v:rect id="_x0000_s2036" style="position:absolute;left:3648;top:821;width:343;height:14" fillcolor="#ff5a00" stroked="f"/>
              <v:rect id="_x0000_s2037" style="position:absolute;left:3648;top:835;width:343;height:14" fillcolor="#ff5c00" stroked="f"/>
              <v:rect id="_x0000_s2038" style="position:absolute;left:3648;top:849;width:343;height:14" fillcolor="#ff5e00" stroked="f"/>
              <v:rect id="_x0000_s2039" style="position:absolute;left:3648;top:863;width:343;height:14" fillcolor="#ff6100" stroked="f"/>
              <v:rect id="_x0000_s2040" style="position:absolute;left:3648;top:877;width:343;height:14" fillcolor="#ff6400" stroked="f"/>
              <v:rect id="_x0000_s2041" style="position:absolute;left:3648;top:891;width:343;height:14" fillcolor="#f60" stroked="f"/>
              <v:rect id="_x0000_s2042" style="position:absolute;left:3648;top:905;width:343;height:14" fillcolor="#ff6700" stroked="f"/>
              <v:rect id="_x0000_s2043" style="position:absolute;left:3648;top:919;width:343;height:15" fillcolor="#ff6900" stroked="f"/>
              <v:rect id="_x0000_s2044" style="position:absolute;left:3648;top:934;width:343;height:14" fillcolor="#ff6c00" stroked="f"/>
              <v:rect id="_x0000_s2045" style="position:absolute;left:3648;top:948;width:343;height:14" fillcolor="#ff6e00" stroked="f"/>
              <v:rect id="_x0000_s2046" style="position:absolute;left:3648;top:962;width:343;height:14" fillcolor="#ff7000" stroked="f"/>
              <v:rect id="_x0000_s2047" style="position:absolute;left:3648;top:976;width:343;height:14" fillcolor="#ff7100" stroked="f"/>
              <v:rect id="_x0000_s2048" style="position:absolute;left:3648;top:990;width:343;height:14" fillcolor="#ff7300" stroked="f"/>
              <v:rect id="_x0000_s2049" style="position:absolute;left:3648;top:1004;width:343;height:14" fillcolor="#ff7500" stroked="f"/>
              <v:rect id="_x0000_s2050" style="position:absolute;left:3648;top:1018;width:343;height:14" fillcolor="#f70" stroked="f"/>
              <v:rect id="_x0000_s2051" style="position:absolute;left:3648;top:1032;width:343;height:14" fillcolor="#ff7900" stroked="f"/>
              <v:rect id="_x0000_s2052" style="position:absolute;left:3648;top:1046;width:343;height:15" fillcolor="#ff7b00" stroked="f"/>
              <v:rect id="_x0000_s2053" style="position:absolute;left:3648;top:1061;width:343;height:14" fillcolor="#ff7c00" stroked="f"/>
              <v:rect id="_x0000_s2054" style="position:absolute;left:3648;top:1075;width:343;height:14" fillcolor="#ff7e00" stroked="f"/>
              <v:rect id="_x0000_s2055" style="position:absolute;left:3648;top:1089;width:343;height:14" fillcolor="#ff7f00" stroked="f"/>
              <v:rect id="_x0000_s2056" style="position:absolute;left:3648;top:1103;width:343;height:14" fillcolor="#ff8100" stroked="f"/>
              <v:rect id="_x0000_s2057" style="position:absolute;left:3648;top:1117;width:343;height:14" fillcolor="#ff8200" stroked="f"/>
              <v:rect id="_x0000_s2058" style="position:absolute;left:3648;top:1131;width:343;height:14" fillcolor="#ff8400" stroked="f"/>
              <v:rect id="_x0000_s2059" style="position:absolute;left:3648;top:1145;width:343;height:14" fillcolor="#ff8500" stroked="f"/>
              <v:rect id="_x0000_s2060" style="position:absolute;left:3648;top:1159;width:343;height:15" fillcolor="#ff8700" stroked="f"/>
              <v:rect id="_x0000_s2061" style="position:absolute;left:3648;top:1174;width:343;height:14" fillcolor="#f80" stroked="f"/>
              <v:rect id="_x0000_s2062" style="position:absolute;left:3648;top:1188;width:343;height:14" fillcolor="#ff8900" stroked="f"/>
              <v:rect id="_x0000_s2063" style="position:absolute;left:3648;top:1202;width:343;height:14" fillcolor="#ff8a00" stroked="f"/>
              <v:rect id="_x0000_s2064" style="position:absolute;left:3648;top:1216;width:343;height:14" fillcolor="#ff8b00" stroked="f"/>
              <v:rect id="_x0000_s2065" style="position:absolute;left:3648;top:1230;width:343;height:14" fillcolor="#ff8c00" stroked="f"/>
              <v:rect id="_x0000_s2066" style="position:absolute;left:3648;top:1244;width:343;height:14" fillcolor="#ff8d00" stroked="f"/>
              <v:rect id="_x0000_s2067" style="position:absolute;left:3648;top:1258;width:343;height:14" fillcolor="#ff8e00" stroked="f"/>
              <v:rect id="_x0000_s2068" style="position:absolute;left:3648;top:1272;width:343;height:15" fillcolor="#ff8f00" stroked="f"/>
              <v:rect id="_x0000_s2069" style="position:absolute;left:3648;top:1287;width:343;height:14" fillcolor="#ff9000" stroked="f"/>
              <v:rect id="_x0000_s2070" style="position:absolute;left:3648;top:1301;width:343;height:28" fillcolor="#ff9100" stroked="f"/>
              <v:rect id="_x0000_s2071" style="position:absolute;left:3648;top:1329;width:343;height:14" fillcolor="#ff9200" stroked="f"/>
              <v:rect id="_x0000_s2072" style="position:absolute;left:3648;top:1343;width:343;height:14" fillcolor="#ff9300" stroked="f"/>
              <v:rect id="_x0000_s2073" style="position:absolute;left:3648;top:1357;width:343;height:42" fillcolor="#ff9400" stroked="f"/>
              <v:rect id="_x0000_s2074" style="position:absolute;left:3648;top:1399;width:343;height:15" fillcolor="#ff9500" stroked="f"/>
              <v:rect id="_x0000_s2075" style="position:absolute;left:3648;top:1414;width:343;height:42" fillcolor="#ff9600" stroked="f"/>
              <v:rect id="_x0000_s2076" style="position:absolute;left:3648;top:1456;width:343;height:42" fillcolor="#ff9700" stroked="f"/>
              <v:rect id="_x0000_s2077" style="position:absolute;left:3648;top:1498;width:343;height:57" fillcolor="#ff9800" stroked="f"/>
              <v:rect id="_x0000_s2078" style="position:absolute;left:3648;top:1555;width:343;height:28" fillcolor="#f90" stroked="f"/>
              <v:rect id="_x0000_s2079" style="position:absolute;left:3648;top:355;width:343;height:1228" filled="f" strokeweight=".65pt"/>
              <v:rect id="_x0000_s2080" style="position:absolute;left:4254;top:510;width:356;height:14" fillcolor="#ff0500" stroked="f"/>
              <v:rect id="_x0000_s2081" style="position:absolute;left:4254;top:524;width:356;height:14" fillcolor="#ff0d00" stroked="f"/>
              <v:rect id="_x0000_s2082" style="position:absolute;left:4254;top:538;width:356;height:14" fillcolor="#ff1200" stroked="f"/>
              <v:rect id="_x0000_s2083" style="position:absolute;left:4254;top:552;width:356;height:14" fillcolor="#ff1500" stroked="f"/>
              <v:rect id="_x0000_s2084" style="position:absolute;left:4254;top:566;width:356;height:15" fillcolor="#ff1800" stroked="f"/>
              <v:rect id="_x0000_s2085" style="position:absolute;left:4254;top:581;width:356;height:14" fillcolor="#ff1b00" stroked="f"/>
              <v:rect id="_x0000_s2086" style="position:absolute;left:4254;top:595;width:356;height:14" fillcolor="#ff1d00" stroked="f"/>
              <v:rect id="_x0000_s2087" style="position:absolute;left:4254;top:609;width:356;height:14" fillcolor="#ff2000" stroked="f"/>
              <v:rect id="_x0000_s2088" style="position:absolute;left:4254;top:623;width:356;height:14" fillcolor="#ff2300" stroked="f"/>
              <v:rect id="_x0000_s2089" style="position:absolute;left:4254;top:637;width:356;height:14" fillcolor="#ff2500" stroked="f"/>
              <v:rect id="_x0000_s2090" style="position:absolute;left:4254;top:651;width:356;height:14" fillcolor="#ff2800" stroked="f"/>
              <v:rect id="_x0000_s2091" style="position:absolute;left:4254;top:665;width:356;height:14" fillcolor="#ff2c00" stroked="f"/>
              <v:rect id="_x0000_s2092" style="position:absolute;left:4254;top:679;width:356;height:14" fillcolor="#ff2e00" stroked="f"/>
              <v:rect id="_x0000_s2093" style="position:absolute;left:4254;top:693;width:356;height:15" fillcolor="#ff3000" stroked="f"/>
              <v:rect id="_x0000_s2094" style="position:absolute;left:4254;top:708;width:356;height:14" fillcolor="#f30" stroked="f"/>
              <v:rect id="_x0000_s2095" style="position:absolute;left:4254;top:722;width:356;height:14" fillcolor="#ff3600" stroked="f"/>
              <v:rect id="_x0000_s2096" style="position:absolute;left:4254;top:736;width:356;height:14" fillcolor="#ff3800" stroked="f"/>
              <v:rect id="_x0000_s2097" style="position:absolute;left:4254;top:750;width:356;height:14" fillcolor="#ff3b00" stroked="f"/>
              <v:rect id="_x0000_s2098" style="position:absolute;left:4254;top:764;width:356;height:14" fillcolor="#ff3e00" stroked="f"/>
              <v:rect id="_x0000_s2099" style="position:absolute;left:4254;top:778;width:356;height:14" fillcolor="#ff4000" stroked="f"/>
              <v:rect id="_x0000_s2100" style="position:absolute;left:4254;top:792;width:356;height:14" fillcolor="#ff4300" stroked="f"/>
              <v:rect id="_x0000_s2101" style="position:absolute;left:4254;top:806;width:356;height:15" fillcolor="#ff4600" stroked="f"/>
              <v:rect id="_x0000_s2102" style="position:absolute;left:4254;top:821;width:356;height:14" fillcolor="#ff4900" stroked="f"/>
              <v:rect id="_x0000_s2103" style="position:absolute;left:4254;top:835;width:356;height:14" fillcolor="#ff4b00" stroked="f"/>
              <v:rect id="_x0000_s2104" style="position:absolute;left:4254;top:849;width:356;height:14" fillcolor="#ff4e00" stroked="f"/>
              <v:rect id="_x0000_s2105" style="position:absolute;left:4254;top:863;width:356;height:14" fillcolor="#ff5000" stroked="f"/>
              <v:rect id="_x0000_s2106" style="position:absolute;left:4254;top:877;width:356;height:14" fillcolor="#ff5300" stroked="f"/>
              <v:rect id="_x0000_s2107" style="position:absolute;left:4254;top:891;width:356;height:14" fillcolor="#ff5600" stroked="f"/>
              <v:rect id="_x0000_s2108" style="position:absolute;left:4254;top:905;width:356;height:14" fillcolor="#ff5900" stroked="f"/>
              <v:rect id="_x0000_s2109" style="position:absolute;left:4254;top:919;width:356;height:15" fillcolor="#ff5b00" stroked="f"/>
              <v:rect id="_x0000_s2110" style="position:absolute;left:4254;top:934;width:356;height:14" fillcolor="#ff5d00" stroked="f"/>
              <v:rect id="_x0000_s2111" style="position:absolute;left:4254;top:948;width:356;height:14" fillcolor="#ff6000" stroked="f"/>
              <v:rect id="_x0000_s2112" style="position:absolute;left:4254;top:962;width:356;height:14" fillcolor="#ff6300" stroked="f"/>
              <v:rect id="_x0000_s2113" style="position:absolute;left:4254;top:976;width:356;height:14" fillcolor="#ff6500" stroked="f"/>
              <v:rect id="_x0000_s2114" style="position:absolute;left:4254;top:990;width:356;height:14" fillcolor="#ff6700" stroked="f"/>
              <v:rect id="_x0000_s2115" style="position:absolute;left:4254;top:1004;width:356;height:14" fillcolor="#ff6a00" stroked="f"/>
              <v:rect id="_x0000_s2116" style="position:absolute;left:4254;top:1018;width:356;height:14" fillcolor="#ff6c00" stroked="f"/>
              <v:rect id="_x0000_s2117" style="position:absolute;left:4254;top:1032;width:356;height:14" fillcolor="#ff6f00" stroked="f"/>
              <v:rect id="_x0000_s2118" style="position:absolute;left:4254;top:1046;width:356;height:15" fillcolor="#ff7100" stroked="f"/>
              <v:rect id="_x0000_s2119" style="position:absolute;left:4254;top:1061;width:356;height:14" fillcolor="#ff7300" stroked="f"/>
              <v:rect id="_x0000_s2120" style="position:absolute;left:4254;top:1075;width:356;height:14" fillcolor="#ff7500" stroked="f"/>
              <v:rect id="_x0000_s2121" style="position:absolute;left:4254;top:1089;width:356;height:14" fillcolor="#f70" stroked="f"/>
              <v:rect id="_x0000_s2122" style="position:absolute;left:4254;top:1103;width:356;height:14" fillcolor="#ff7900" stroked="f"/>
              <v:rect id="_x0000_s2123" style="position:absolute;left:4254;top:1117;width:356;height:14" fillcolor="#ff7b00" stroked="f"/>
              <v:rect id="_x0000_s2124" style="position:absolute;left:4254;top:1131;width:356;height:14" fillcolor="#ff7d00" stroked="f"/>
              <v:rect id="_x0000_s2125" style="position:absolute;left:4254;top:1145;width:356;height:14" fillcolor="#ff7f00" stroked="f"/>
              <v:rect id="_x0000_s2126" style="position:absolute;left:4254;top:1159;width:356;height:15" fillcolor="#ff8000" stroked="f"/>
              <v:rect id="_x0000_s2127" style="position:absolute;left:4254;top:1174;width:356;height:14" fillcolor="#ff8200" stroked="f"/>
              <v:rect id="_x0000_s2128" style="position:absolute;left:4254;top:1188;width:356;height:14" fillcolor="#ff8400" stroked="f"/>
              <v:rect id="_x0000_s2129" style="position:absolute;left:4254;top:1202;width:356;height:14" fillcolor="#ff8500" stroked="f"/>
              <v:rect id="_x0000_s2130" style="position:absolute;left:4254;top:1216;width:356;height:14" fillcolor="#ff8700" stroked="f"/>
              <v:rect id="_x0000_s2131" style="position:absolute;left:4254;top:1230;width:356;height:14" fillcolor="#f80" stroked="f"/>
              <v:rect id="_x0000_s2132" style="position:absolute;left:4254;top:1244;width:356;height:14" fillcolor="#ff8900" stroked="f"/>
              <v:rect id="_x0000_s2133" style="position:absolute;left:4254;top:1258;width:356;height:14" fillcolor="#ff8b00" stroked="f"/>
              <v:rect id="_x0000_s2134" style="position:absolute;left:4254;top:1272;width:356;height:15" fillcolor="#ff8c00" stroked="f"/>
              <v:rect id="_x0000_s2135" style="position:absolute;left:4254;top:1287;width:356;height:14" fillcolor="#ff8d00" stroked="f"/>
              <v:rect id="_x0000_s2136" style="position:absolute;left:4254;top:1301;width:356;height:28" fillcolor="#ff8f00" stroked="f"/>
              <v:rect id="_x0000_s2137" style="position:absolute;left:4254;top:1329;width:356;height:14" fillcolor="#ff9000" stroked="f"/>
              <v:rect id="_x0000_s2138" style="position:absolute;left:4254;top:1343;width:356;height:14" fillcolor="#ff9100" stroked="f"/>
              <v:rect id="_x0000_s2139" style="position:absolute;left:4254;top:1357;width:356;height:14" fillcolor="#ff9200" stroked="f"/>
              <v:rect id="_x0000_s2140" style="position:absolute;left:4254;top:1371;width:356;height:14" fillcolor="#ff9300" stroked="f"/>
              <v:rect id="_x0000_s2141" style="position:absolute;left:4254;top:1385;width:356;height:43" fillcolor="#ff9400" stroked="f"/>
              <v:rect id="_x0000_s2142" style="position:absolute;left:4254;top:1428;width:356;height:14" fillcolor="#ff9500" stroked="f"/>
              <v:rect id="_x0000_s2143" style="position:absolute;left:4254;top:1442;width:356;height:28" fillcolor="#ff9600" stroked="f"/>
              <v:rect id="_x0000_s2144" style="position:absolute;left:4254;top:1470;width:356;height:42" fillcolor="#ff9700" stroked="f"/>
              <v:rect id="_x0000_s2145" style="position:absolute;left:4254;top:1512;width:356;height:43" fillcolor="#ff9800" stroked="f"/>
              <v:rect id="_x0000_s2146" style="position:absolute;left:4254;top:1555;width:356;height:28" fillcolor="#f90" stroked="f"/>
              <v:rect id="_x0000_s2147" style="position:absolute;left:4254;top:510;width:356;height:1073" filled="f" strokeweight=".65pt"/>
              <v:rect id="_x0000_s2148" style="position:absolute;left:4873;top:340;width:343;height:15" fillcolor="#ff0400" stroked="f"/>
              <v:rect id="_x0000_s2149" style="position:absolute;left:4873;top:355;width:343;height:14" fillcolor="#ff0c00" stroked="f"/>
              <v:rect id="_x0000_s2150" style="position:absolute;left:4873;top:369;width:343;height:14" fillcolor="#f10" stroked="f"/>
              <v:rect id="_x0000_s2151" style="position:absolute;left:4873;top:383;width:343;height:14" fillcolor="#ff1400" stroked="f"/>
              <v:rect id="_x0000_s2152" style="position:absolute;left:4873;top:397;width:343;height:14" fillcolor="#ff1600" stroked="f"/>
              <v:rect id="_x0000_s2153" style="position:absolute;left:4873;top:411;width:343;height:14" fillcolor="#ff1900" stroked="f"/>
              <v:rect id="_x0000_s2154" style="position:absolute;left:4873;top:425;width:343;height:14" fillcolor="#ff1b00" stroked="f"/>
              <v:rect id="_x0000_s2155" style="position:absolute;left:4873;top:439;width:343;height:14" fillcolor="#ff1d00" stroked="f"/>
              <v:rect id="_x0000_s2156" style="position:absolute;left:4873;top:453;width:343;height:15" fillcolor="#ff2000" stroked="f"/>
              <v:rect id="_x0000_s2157" style="position:absolute;left:4873;top:468;width:343;height:14" fillcolor="#ff2300" stroked="f"/>
              <v:rect id="_x0000_s2158" style="position:absolute;left:4873;top:482;width:343;height:14" fillcolor="#ff2400" stroked="f"/>
              <v:rect id="_x0000_s2159" style="position:absolute;left:4873;top:496;width:343;height:14" fillcolor="#ff2600" stroked="f"/>
              <v:rect id="_x0000_s2160" style="position:absolute;left:4873;top:510;width:343;height:14" fillcolor="#ff2900" stroked="f"/>
              <v:rect id="_x0000_s2161" style="position:absolute;left:4873;top:524;width:343;height:14" fillcolor="#ff2c00" stroked="f"/>
              <v:rect id="_x0000_s2162" style="position:absolute;left:4873;top:538;width:343;height:14" fillcolor="#ff2e00" stroked="f"/>
              <v:rect id="_x0000_s2163" style="position:absolute;left:4873;top:552;width:343;height:14" fillcolor="#ff3000" stroked="f"/>
              <v:rect id="_x0000_s2164" style="position:absolute;left:4873;top:566;width:343;height:15" fillcolor="#ff3200" stroked="f"/>
              <v:rect id="_x0000_s2165" style="position:absolute;left:4873;top:581;width:343;height:14" fillcolor="#ff3500" stroked="f"/>
              <v:rect id="_x0000_s2166" style="position:absolute;left:4873;top:595;width:343;height:14" fillcolor="#ff3700" stroked="f"/>
              <v:rect id="_x0000_s2167" style="position:absolute;left:4873;top:609;width:343;height:14" fillcolor="#ff3900" stroked="f"/>
              <v:rect id="_x0000_s2168" style="position:absolute;left:4873;top:623;width:343;height:14" fillcolor="#ff3c00" stroked="f"/>
              <v:rect id="_x0000_s2169" style="position:absolute;left:4873;top:637;width:343;height:14" fillcolor="#ff3e00" stroked="f"/>
              <v:rect id="_x0000_s2170" style="position:absolute;left:4873;top:651;width:343;height:14" fillcolor="#ff4000" stroked="f"/>
              <v:rect id="_x0000_s2171" style="position:absolute;left:4873;top:665;width:343;height:14" fillcolor="#ff4200" stroked="f"/>
              <v:rect id="_x0000_s2172" style="position:absolute;left:4873;top:679;width:343;height:14" fillcolor="#ff4500" stroked="f"/>
              <v:rect id="_x0000_s2173" style="position:absolute;left:4873;top:693;width:343;height:15" fillcolor="#ff4800" stroked="f"/>
              <v:rect id="_x0000_s2174" style="position:absolute;left:4873;top:708;width:343;height:14" fillcolor="#ff4a00" stroked="f"/>
              <v:rect id="_x0000_s2175" style="position:absolute;left:4873;top:722;width:343;height:14" fillcolor="#ff4c00" stroked="f"/>
              <v:rect id="_x0000_s2176" style="position:absolute;left:4873;top:736;width:343;height:14" fillcolor="#ff4e00" stroked="f"/>
              <v:rect id="_x0000_s2177" style="position:absolute;left:4873;top:750;width:343;height:14" fillcolor="#ff5000" stroked="f"/>
              <v:rect id="_x0000_s2178" style="position:absolute;left:4873;top:764;width:343;height:14" fillcolor="#ff5300" stroked="f"/>
              <v:rect id="_x0000_s2179" style="position:absolute;left:4873;top:778;width:343;height:14" fillcolor="#f50" stroked="f"/>
              <v:rect id="_x0000_s2180" style="position:absolute;left:4873;top:792;width:343;height:14" fillcolor="#ff5800" stroked="f"/>
              <v:rect id="_x0000_s2181" style="position:absolute;left:4873;top:806;width:343;height:15" fillcolor="#ff5a00" stroked="f"/>
              <v:rect id="_x0000_s2182" style="position:absolute;left:4873;top:821;width:343;height:14" fillcolor="#ff5b00" stroked="f"/>
              <v:rect id="_x0000_s2183" style="position:absolute;left:4873;top:835;width:343;height:14" fillcolor="#ff5d00" stroked="f"/>
              <v:rect id="_x0000_s2184" style="position:absolute;left:4873;top:849;width:343;height:14" fillcolor="#ff6000" stroked="f"/>
              <v:rect id="_x0000_s2185" style="position:absolute;left:4873;top:863;width:343;height:14" fillcolor="#ff6300" stroked="f"/>
              <v:rect id="_x0000_s2186" style="position:absolute;left:4873;top:877;width:343;height:14" fillcolor="#ff6500" stroked="f"/>
              <v:rect id="_x0000_s2187" style="position:absolute;left:4873;top:891;width:343;height:14" fillcolor="#f60" stroked="f"/>
              <v:rect id="_x0000_s2188" style="position:absolute;left:4873;top:905;width:343;height:14" fillcolor="#ff6800" stroked="f"/>
              <v:rect id="_x0000_s2189" style="position:absolute;left:4873;top:919;width:343;height:15" fillcolor="#ff6b00" stroked="f"/>
              <v:rect id="_x0000_s2190" style="position:absolute;left:4873;top:934;width:343;height:14" fillcolor="#ff6d00" stroked="f"/>
              <v:rect id="_x0000_s2191" style="position:absolute;left:4873;top:948;width:343;height:14" fillcolor="#ff6f00" stroked="f"/>
              <v:rect id="_x0000_s2192" style="position:absolute;left:4873;top:962;width:343;height:14" fillcolor="#ff7100" stroked="f"/>
              <v:rect id="_x0000_s2193" style="position:absolute;left:4873;top:976;width:343;height:14" fillcolor="#ff7200" stroked="f"/>
              <v:rect id="_x0000_s2194" style="position:absolute;left:4873;top:990;width:343;height:14" fillcolor="#ff7400" stroked="f"/>
              <v:rect id="_x0000_s2195" style="position:absolute;left:4873;top:1004;width:343;height:14" fillcolor="#ff7600" stroked="f"/>
              <v:rect id="_x0000_s2196" style="position:absolute;left:4873;top:1018;width:343;height:14" fillcolor="#ff7800" stroked="f"/>
              <v:rect id="_x0000_s2197" style="position:absolute;left:4873;top:1032;width:343;height:14" fillcolor="#ff7a00" stroked="f"/>
              <v:rect id="_x0000_s2198" style="position:absolute;left:4873;top:1046;width:343;height:15" fillcolor="#ff7b00" stroked="f"/>
              <v:rect id="_x0000_s2199" style="position:absolute;left:4873;top:1061;width:343;height:14" fillcolor="#ff7d00" stroked="f"/>
              <v:rect id="_x0000_s2200" style="position:absolute;left:4873;top:1075;width:343;height:14" fillcolor="#ff7e00" stroked="f"/>
              <v:rect id="_x0000_s2201" style="position:absolute;left:4873;top:1089;width:343;height:14" fillcolor="#ff8000" stroked="f"/>
              <v:rect id="_x0000_s2202" style="position:absolute;left:4873;top:1103;width:343;height:14" fillcolor="#ff8100" stroked="f"/>
              <v:rect id="_x0000_s2203" style="position:absolute;left:4873;top:1117;width:343;height:14" fillcolor="#ff8300" stroked="f"/>
              <v:rect id="_x0000_s2204" style="position:absolute;left:4873;top:1131;width:343;height:14" fillcolor="#ff8400" stroked="f"/>
              <v:rect id="_x0000_s2205" style="position:absolute;left:4873;top:1145;width:343;height:14" fillcolor="#ff8600" stroked="f"/>
              <v:rect id="_x0000_s2206" style="position:absolute;left:4873;top:1159;width:343;height:15" fillcolor="#ff8700" stroked="f"/>
              <v:rect id="_x0000_s2207" style="position:absolute;left:4873;top:1174;width:343;height:14" fillcolor="#f80" stroked="f"/>
              <v:rect id="_x0000_s2208" style="position:absolute;left:4873;top:1188;width:343;height:14" fillcolor="#ff8900" stroked="f"/>
              <v:rect id="_x0000_s2209" style="position:absolute;left:4873;top:1202;width:343;height:14" fillcolor="#ff8a00" stroked="f"/>
              <v:rect id="_x0000_s2210" style="position:absolute;left:4873;top:1216;width:343;height:14" fillcolor="#ff8b00" stroked="f"/>
              <v:rect id="_x0000_s2211" style="position:absolute;left:4873;top:1230;width:343;height:14" fillcolor="#ff8c00" stroked="f"/>
              <v:rect id="_x0000_s2212" style="position:absolute;left:4873;top:1244;width:343;height:14" fillcolor="#ff8e00" stroked="f"/>
              <v:rect id="_x0000_s2213" style="position:absolute;left:4873;top:1258;width:343;height:29" fillcolor="#ff8f00" stroked="f"/>
              <v:rect id="_x0000_s2214" style="position:absolute;left:4873;top:1287;width:343;height:14" fillcolor="#ff9000" stroked="f"/>
              <v:rect id="_x0000_s2215" style="position:absolute;left:4873;top:1301;width:343;height:14" fillcolor="#ff9100" stroked="f"/>
              <v:rect id="_x0000_s2216" style="position:absolute;left:4873;top:1315;width:343;height:28" fillcolor="#ff9200" stroked="f"/>
              <v:rect id="_x0000_s2217" style="position:absolute;left:4873;top:1343;width:343;height:14" fillcolor="#ff9300" stroked="f"/>
              <v:rect id="_x0000_s2218" style="position:absolute;left:4873;top:1357;width:343;height:42" fillcolor="#ff9400" stroked="f"/>
              <v:rect id="_x0000_s2219" style="position:absolute;left:4873;top:1399;width:343;height:15" fillcolor="#ff9500" stroked="f"/>
              <v:rect id="_x0000_s2220" style="position:absolute;left:4873;top:1414;width:343;height:42" fillcolor="#ff9600" stroked="f"/>
              <v:rect id="_x0000_s2221" style="position:absolute;left:4873;top:1456;width:343;height:42" fillcolor="#ff9700" stroked="f"/>
              <v:rect id="_x0000_s2222" style="position:absolute;left:4873;top:1498;width:343;height:57" fillcolor="#ff9800" stroked="f"/>
              <v:rect id="_x0000_s2223" style="position:absolute;left:4873;top:1555;width:343;height:28" fillcolor="#f90" stroked="f"/>
              <v:rect id="_x0000_s2224" style="position:absolute;left:4873;top:340;width:343;height:1243" filled="f" strokeweight=".65pt"/>
              <v:rect id="_x0000_s2225" style="position:absolute;left:5479;top:468;width:342;height:14" fillcolor="#ff0400" stroked="f"/>
              <v:rect id="_x0000_s2226" style="position:absolute;left:5479;top:482;width:342;height:14" fillcolor="#ff0d00" stroked="f"/>
              <v:rect id="_x0000_s2227" style="position:absolute;left:5479;top:496;width:342;height:14" fillcolor="#ff1200" stroked="f"/>
              <v:rect id="_x0000_s2228" style="position:absolute;left:5479;top:510;width:342;height:14" fillcolor="#ff1400" stroked="f"/>
              <v:rect id="_x0000_s2229" style="position:absolute;left:5479;top:524;width:342;height:14" fillcolor="#ff1800" stroked="f"/>
              <v:rect id="_x0000_s2230" style="position:absolute;left:5479;top:538;width:342;height:14" fillcolor="#ff1a00" stroked="f"/>
              <v:rect id="_x0000_s2231" style="position:absolute;left:5479;top:552;width:342;height:14" fillcolor="#ff1d00" stroked="f"/>
              <v:rect id="_x0000_s2232" style="position:absolute;left:5479;top:566;width:342;height:15" fillcolor="#ff1f00" stroked="f"/>
              <v:rect id="_x0000_s2233" style="position:absolute;left:5479;top:581;width:342;height:14" fillcolor="#ff2300" stroked="f"/>
              <v:rect id="_x0000_s2234" style="position:absolute;left:5479;top:595;width:342;height:14" fillcolor="#ff2400" stroked="f"/>
            </v:group>
            <v:group id="_x0000_s2235" style="position:absolute;left:5479;top:213;width:1567;height:1370" coordorigin="5479,213" coordsize="1567,1370">
              <v:rect id="_x0000_s2236" style="position:absolute;left:5479;top:609;width:342;height:14" fillcolor="#ff2700" stroked="f"/>
              <v:rect id="_x0000_s2237" style="position:absolute;left:5479;top:623;width:342;height:14" fillcolor="#ff2a00" stroked="f"/>
              <v:rect id="_x0000_s2238" style="position:absolute;left:5479;top:637;width:342;height:14" fillcolor="#ff2d00" stroked="f"/>
              <v:rect id="_x0000_s2239" style="position:absolute;left:5479;top:651;width:342;height:14" fillcolor="#ff2f00" stroked="f"/>
              <v:rect id="_x0000_s2240" style="position:absolute;left:5479;top:665;width:342;height:14" fillcolor="#ff3100" stroked="f"/>
              <v:rect id="_x0000_s2241" style="position:absolute;left:5479;top:679;width:342;height:14" fillcolor="#ff3400" stroked="f"/>
              <v:rect id="_x0000_s2242" style="position:absolute;left:5479;top:693;width:342;height:15" fillcolor="#ff3700" stroked="f"/>
              <v:rect id="_x0000_s2243" style="position:absolute;left:5479;top:708;width:342;height:14" fillcolor="#ff3900" stroked="f"/>
              <v:rect id="_x0000_s2244" style="position:absolute;left:5479;top:722;width:342;height:14" fillcolor="#ff3c00" stroked="f"/>
              <v:rect id="_x0000_s2245" style="position:absolute;left:5479;top:736;width:342;height:14" fillcolor="#ff3e00" stroked="f"/>
              <v:rect id="_x0000_s2246" style="position:absolute;left:5479;top:750;width:342;height:14" fillcolor="#ff4100" stroked="f"/>
              <v:rect id="_x0000_s2247" style="position:absolute;left:5479;top:764;width:342;height:14" fillcolor="#f40" stroked="f"/>
              <v:rect id="_x0000_s2248" style="position:absolute;left:5479;top:778;width:342;height:14" fillcolor="#ff4700" stroked="f"/>
              <v:rect id="_x0000_s2249" style="position:absolute;left:5479;top:792;width:342;height:14" fillcolor="#ff4900" stroked="f"/>
              <v:rect id="_x0000_s2250" style="position:absolute;left:5479;top:806;width:342;height:15" fillcolor="#ff4c00" stroked="f"/>
              <v:rect id="_x0000_s2251" style="position:absolute;left:5479;top:821;width:342;height:14" fillcolor="#ff4e00" stroked="f"/>
              <v:rect id="_x0000_s2252" style="position:absolute;left:5479;top:835;width:342;height:14" fillcolor="#ff5000" stroked="f"/>
              <v:rect id="_x0000_s2253" style="position:absolute;left:5479;top:849;width:342;height:14" fillcolor="#ff5300" stroked="f"/>
              <v:rect id="_x0000_s2254" style="position:absolute;left:5479;top:863;width:342;height:14" fillcolor="#f50" stroked="f"/>
              <v:rect id="_x0000_s2255" style="position:absolute;left:5479;top:877;width:342;height:14" fillcolor="#ff5900" stroked="f"/>
              <v:rect id="_x0000_s2256" style="position:absolute;left:5479;top:891;width:342;height:14" fillcolor="#ff5a00" stroked="f"/>
              <v:rect id="_x0000_s2257" style="position:absolute;left:5479;top:905;width:342;height:14" fillcolor="#ff5d00" stroked="f"/>
              <v:rect id="_x0000_s2258" style="position:absolute;left:5479;top:919;width:342;height:15" fillcolor="#ff5f00" stroked="f"/>
              <v:rect id="_x0000_s2259" style="position:absolute;left:5479;top:934;width:342;height:14" fillcolor="#ff6200" stroked="f"/>
              <v:rect id="_x0000_s2260" style="position:absolute;left:5479;top:948;width:342;height:14" fillcolor="#ff6500" stroked="f"/>
              <v:rect id="_x0000_s2261" style="position:absolute;left:5479;top:962;width:342;height:14" fillcolor="#ff6700" stroked="f"/>
              <v:rect id="_x0000_s2262" style="position:absolute;left:5479;top:976;width:342;height:14" fillcolor="#ff6900" stroked="f"/>
              <v:rect id="_x0000_s2263" style="position:absolute;left:5479;top:990;width:342;height:14" fillcolor="#ff6b00" stroked="f"/>
              <v:rect id="_x0000_s2264" style="position:absolute;left:5479;top:1004;width:342;height:14" fillcolor="#ff6e00" stroked="f"/>
              <v:rect id="_x0000_s2265" style="position:absolute;left:5479;top:1018;width:342;height:14" fillcolor="#ff7000" stroked="f"/>
              <v:rect id="_x0000_s2266" style="position:absolute;left:5479;top:1032;width:342;height:14" fillcolor="#ff7200" stroked="f"/>
              <v:rect id="_x0000_s2267" style="position:absolute;left:5479;top:1046;width:342;height:15" fillcolor="#ff7400" stroked="f"/>
              <v:rect id="_x0000_s2268" style="position:absolute;left:5479;top:1061;width:342;height:14" fillcolor="#ff7600" stroked="f"/>
              <v:rect id="_x0000_s2269" style="position:absolute;left:5479;top:1075;width:342;height:14" fillcolor="#ff7800" stroked="f"/>
              <v:rect id="_x0000_s2270" style="position:absolute;left:5479;top:1089;width:342;height:14" fillcolor="#ff7a00" stroked="f"/>
              <v:rect id="_x0000_s2271" style="position:absolute;left:5479;top:1103;width:342;height:14" fillcolor="#ff7c00" stroked="f"/>
              <v:rect id="_x0000_s2272" style="position:absolute;left:5479;top:1117;width:342;height:14" fillcolor="#ff7d00" stroked="f"/>
              <v:rect id="_x0000_s2273" style="position:absolute;left:5479;top:1131;width:342;height:14" fillcolor="#ff7f00" stroked="f"/>
              <v:rect id="_x0000_s2274" style="position:absolute;left:5479;top:1145;width:342;height:14" fillcolor="#ff8100" stroked="f"/>
              <v:rect id="_x0000_s2275" style="position:absolute;left:5479;top:1159;width:342;height:15" fillcolor="#ff8200" stroked="f"/>
              <v:rect id="_x0000_s2276" style="position:absolute;left:5479;top:1174;width:342;height:14" fillcolor="#ff8400" stroked="f"/>
              <v:rect id="_x0000_s2277" style="position:absolute;left:5479;top:1188;width:342;height:14" fillcolor="#ff8500" stroked="f"/>
              <v:rect id="_x0000_s2278" style="position:absolute;left:5479;top:1202;width:342;height:14" fillcolor="#ff8700" stroked="f"/>
              <v:rect id="_x0000_s2279" style="position:absolute;left:5479;top:1216;width:342;height:14" fillcolor="#f80" stroked="f"/>
              <v:rect id="_x0000_s2280" style="position:absolute;left:5479;top:1230;width:342;height:14" fillcolor="#ff8900" stroked="f"/>
              <v:rect id="_x0000_s2281" style="position:absolute;left:5479;top:1244;width:342;height:14" fillcolor="#ff8b00" stroked="f"/>
              <v:rect id="_x0000_s2282" style="position:absolute;left:5479;top:1258;width:342;height:14" fillcolor="#ff8c00" stroked="f"/>
              <v:rect id="_x0000_s2283" style="position:absolute;left:5479;top:1272;width:342;height:15" fillcolor="#ff8d00" stroked="f"/>
              <v:rect id="_x0000_s2284" style="position:absolute;left:5479;top:1287;width:342;height:14" fillcolor="#ff8e00" stroked="f"/>
              <v:rect id="_x0000_s2285" style="position:absolute;left:5479;top:1301;width:342;height:14" fillcolor="#ff8f00" stroked="f"/>
              <v:rect id="_x0000_s2286" style="position:absolute;left:5479;top:1315;width:342;height:14" fillcolor="#ff9000" stroked="f"/>
              <v:rect id="_x0000_s2287" style="position:absolute;left:5479;top:1329;width:342;height:14" fillcolor="#ff9100" stroked="f"/>
              <v:rect id="_x0000_s2288" style="position:absolute;left:5479;top:1343;width:342;height:28" fillcolor="#ff9200" stroked="f"/>
              <v:rect id="_x0000_s2289" style="position:absolute;left:5479;top:1371;width:342;height:14" fillcolor="#ff9300" stroked="f"/>
              <v:rect id="_x0000_s2290" style="position:absolute;left:5479;top:1385;width:342;height:29" fillcolor="#ff9400" stroked="f"/>
              <v:rect id="_x0000_s2291" style="position:absolute;left:5479;top:1414;width:342;height:28" fillcolor="#ff9500" stroked="f"/>
              <v:rect id="_x0000_s2292" style="position:absolute;left:5479;top:1442;width:342;height:28" fillcolor="#ff9600" stroked="f"/>
              <v:rect id="_x0000_s2293" style="position:absolute;left:5479;top:1470;width:342;height:28" fillcolor="#ff9700" stroked="f"/>
              <v:rect id="_x0000_s2294" style="position:absolute;left:5479;top:1498;width:342;height:57" fillcolor="#ff9800" stroked="f"/>
              <v:rect id="_x0000_s2295" style="position:absolute;left:5479;top:1555;width:342;height:28" fillcolor="#f90" stroked="f"/>
              <v:rect id="_x0000_s2296" style="position:absolute;left:5479;top:468;width:342;height:1115" filled="f" strokeweight=".65pt"/>
              <v:rect id="_x0000_s2297" style="position:absolute;left:6085;top:213;width:342;height:15" fillcolor="#ff0400" stroked="f"/>
              <v:rect id="_x0000_s2298" style="position:absolute;left:6085;top:228;width:342;height:14" fillcolor="#ff0b00" stroked="f"/>
              <v:rect id="_x0000_s2299" style="position:absolute;left:6085;top:242;width:342;height:14" fillcolor="#ff1000" stroked="f"/>
              <v:rect id="_x0000_s2300" style="position:absolute;left:6085;top:256;width:342;height:14" fillcolor="#ff1300" stroked="f"/>
              <v:rect id="_x0000_s2301" style="position:absolute;left:6085;top:270;width:342;height:14" fillcolor="#ff1500" stroked="f"/>
              <v:rect id="_x0000_s2302" style="position:absolute;left:6085;top:284;width:342;height:14" fillcolor="#ff1800" stroked="f"/>
              <v:rect id="_x0000_s2303" style="position:absolute;left:6085;top:298;width:342;height:14" fillcolor="#ff1a00" stroked="f"/>
              <v:rect id="_x0000_s2304" style="position:absolute;left:6085;top:312;width:342;height:14" fillcolor="#ff1c00" stroked="f"/>
              <v:rect id="_x0000_s2305" style="position:absolute;left:6085;top:326;width:342;height:14" fillcolor="#ff1e00" stroked="f"/>
              <v:rect id="_x0000_s2306" style="position:absolute;left:6085;top:340;width:342;height:15" fillcolor="#ff2000" stroked="f"/>
              <v:rect id="_x0000_s2307" style="position:absolute;left:6085;top:355;width:342;height:14" fillcolor="#ff2300" stroked="f"/>
              <v:rect id="_x0000_s2308" style="position:absolute;left:6085;top:369;width:342;height:14" fillcolor="#ff2400" stroked="f"/>
              <v:rect id="_x0000_s2309" style="position:absolute;left:6085;top:383;width:342;height:14" fillcolor="#ff2600" stroked="f"/>
              <v:rect id="_x0000_s2310" style="position:absolute;left:6085;top:397;width:342;height:14" fillcolor="#ff2900" stroked="f"/>
              <v:rect id="_x0000_s2311" style="position:absolute;left:6085;top:411;width:342;height:14" fillcolor="#ff2b00" stroked="f"/>
              <v:rect id="_x0000_s2312" style="position:absolute;left:6085;top:425;width:342;height:14" fillcolor="#ff2d00" stroked="f"/>
              <v:rect id="_x0000_s2313" style="position:absolute;left:6085;top:439;width:342;height:14" fillcolor="#ff2f00" stroked="f"/>
              <v:rect id="_x0000_s2314" style="position:absolute;left:6085;top:453;width:342;height:15" fillcolor="#ff3100" stroked="f"/>
              <v:rect id="_x0000_s2315" style="position:absolute;left:6085;top:468;width:342;height:14" fillcolor="#f30" stroked="f"/>
              <v:rect id="_x0000_s2316" style="position:absolute;left:6085;top:482;width:342;height:14" fillcolor="#ff3500" stroked="f"/>
              <v:rect id="_x0000_s2317" style="position:absolute;left:6085;top:496;width:342;height:14" fillcolor="#ff3700" stroked="f"/>
              <v:rect id="_x0000_s2318" style="position:absolute;left:6085;top:510;width:342;height:14" fillcolor="#ff3900" stroked="f"/>
              <v:rect id="_x0000_s2319" style="position:absolute;left:6085;top:524;width:342;height:14" fillcolor="#ff3b00" stroked="f"/>
              <v:rect id="_x0000_s2320" style="position:absolute;left:6085;top:538;width:342;height:14" fillcolor="#ff3e00" stroked="f"/>
              <v:rect id="_x0000_s2321" style="position:absolute;left:6085;top:552;width:342;height:14" fillcolor="#ff3f00" stroked="f"/>
              <v:rect id="_x0000_s2322" style="position:absolute;left:6085;top:566;width:342;height:15" fillcolor="#ff4100" stroked="f"/>
              <v:rect id="_x0000_s2323" style="position:absolute;left:6085;top:581;width:342;height:14" fillcolor="#f40" stroked="f"/>
              <v:rect id="_x0000_s2324" style="position:absolute;left:6085;top:595;width:342;height:14" fillcolor="#ff4600" stroked="f"/>
              <v:rect id="_x0000_s2325" style="position:absolute;left:6085;top:609;width:342;height:14" fillcolor="#ff4800" stroked="f"/>
              <v:rect id="_x0000_s2326" style="position:absolute;left:6085;top:623;width:342;height:14" fillcolor="#ff4a00" stroked="f"/>
              <v:rect id="_x0000_s2327" style="position:absolute;left:6085;top:637;width:342;height:14" fillcolor="#ff4c00" stroked="f"/>
              <v:rect id="_x0000_s2328" style="position:absolute;left:6085;top:651;width:342;height:14" fillcolor="#ff4e00" stroked="f"/>
              <v:rect id="_x0000_s2329" style="position:absolute;left:6085;top:665;width:342;height:14" fillcolor="#ff5000" stroked="f"/>
              <v:rect id="_x0000_s2330" style="position:absolute;left:6085;top:679;width:342;height:14" fillcolor="#ff5200" stroked="f"/>
              <v:rect id="_x0000_s2331" style="position:absolute;left:6085;top:693;width:342;height:15" fillcolor="#ff5400" stroked="f"/>
              <v:rect id="_x0000_s2332" style="position:absolute;left:6085;top:708;width:342;height:14" fillcolor="#ff5700" stroked="f"/>
              <v:rect id="_x0000_s2333" style="position:absolute;left:6085;top:722;width:342;height:14" fillcolor="#ff5900" stroked="f"/>
              <v:rect id="_x0000_s2334" style="position:absolute;left:6085;top:736;width:342;height:14" fillcolor="#ff5a00" stroked="f"/>
              <v:rect id="_x0000_s2335" style="position:absolute;left:6085;top:750;width:342;height:14" fillcolor="#ff5c00" stroked="f"/>
              <v:rect id="_x0000_s2336" style="position:absolute;left:6085;top:764;width:342;height:14" fillcolor="#ff5e00" stroked="f"/>
              <v:rect id="_x0000_s2337" style="position:absolute;left:6085;top:778;width:342;height:14" fillcolor="#ff6100" stroked="f"/>
              <v:rect id="_x0000_s2338" style="position:absolute;left:6085;top:792;width:342;height:14" fillcolor="#ff6300" stroked="f"/>
              <v:rect id="_x0000_s2339" style="position:absolute;left:6085;top:806;width:342;height:15" fillcolor="#ff6500" stroked="f"/>
              <v:rect id="_x0000_s2340" style="position:absolute;left:6085;top:821;width:342;height:14" fillcolor="#f60" stroked="f"/>
              <v:rect id="_x0000_s2341" style="position:absolute;left:6085;top:835;width:342;height:14" fillcolor="#ff6800" stroked="f"/>
              <v:rect id="_x0000_s2342" style="position:absolute;left:6085;top:849;width:342;height:14" fillcolor="#ff6a00" stroked="f"/>
              <v:rect id="_x0000_s2343" style="position:absolute;left:6085;top:863;width:342;height:14" fillcolor="#ff6c00" stroked="f"/>
              <v:rect id="_x0000_s2344" style="position:absolute;left:6085;top:877;width:342;height:14" fillcolor="#ff6e00" stroked="f"/>
              <v:rect id="_x0000_s2345" style="position:absolute;left:6085;top:891;width:342;height:14" fillcolor="#ff7000" stroked="f"/>
              <v:rect id="_x0000_s2346" style="position:absolute;left:6085;top:905;width:342;height:14" fillcolor="#ff7100" stroked="f"/>
              <v:rect id="_x0000_s2347" style="position:absolute;left:6085;top:919;width:342;height:15" fillcolor="#ff7300" stroked="f"/>
              <v:rect id="_x0000_s2348" style="position:absolute;left:6085;top:934;width:342;height:14" fillcolor="#ff7500" stroked="f"/>
              <v:rect id="_x0000_s2349" style="position:absolute;left:6085;top:948;width:342;height:14" fillcolor="#ff7600" stroked="f"/>
              <v:rect id="_x0000_s2350" style="position:absolute;left:6085;top:962;width:342;height:14" fillcolor="#ff7800" stroked="f"/>
              <v:rect id="_x0000_s2351" style="position:absolute;left:6085;top:976;width:342;height:14" fillcolor="#ff7a00" stroked="f"/>
              <v:rect id="_x0000_s2352" style="position:absolute;left:6085;top:990;width:342;height:14" fillcolor="#ff7b00" stroked="f"/>
              <v:rect id="_x0000_s2353" style="position:absolute;left:6085;top:1004;width:342;height:14" fillcolor="#ff7d00" stroked="f"/>
              <v:rect id="_x0000_s2354" style="position:absolute;left:6085;top:1018;width:342;height:14" fillcolor="#ff7e00" stroked="f"/>
              <v:rect id="_x0000_s2355" style="position:absolute;left:6085;top:1032;width:342;height:14" fillcolor="#ff7f00" stroked="f"/>
              <v:rect id="_x0000_s2356" style="position:absolute;left:6085;top:1046;width:342;height:15" fillcolor="#ff8100" stroked="f"/>
              <v:rect id="_x0000_s2357" style="position:absolute;left:6085;top:1061;width:342;height:14" fillcolor="#ff8200" stroked="f"/>
              <v:rect id="_x0000_s2358" style="position:absolute;left:6085;top:1075;width:342;height:14" fillcolor="#ff8300" stroked="f"/>
              <v:rect id="_x0000_s2359" style="position:absolute;left:6085;top:1089;width:342;height:14" fillcolor="#ff8400" stroked="f"/>
              <v:rect id="_x0000_s2360" style="position:absolute;left:6085;top:1103;width:342;height:14" fillcolor="#ff8600" stroked="f"/>
              <v:rect id="_x0000_s2361" style="position:absolute;left:6085;top:1117;width:342;height:14" fillcolor="#ff8700" stroked="f"/>
              <v:rect id="_x0000_s2362" style="position:absolute;left:6085;top:1131;width:342;height:14" fillcolor="#f80" stroked="f"/>
              <v:rect id="_x0000_s2363" style="position:absolute;left:6085;top:1145;width:342;height:14" fillcolor="#ff8900" stroked="f"/>
              <v:rect id="_x0000_s2364" style="position:absolute;left:6085;top:1159;width:342;height:15" fillcolor="#ff8a00" stroked="f"/>
              <v:rect id="_x0000_s2365" style="position:absolute;left:6085;top:1174;width:342;height:14" fillcolor="#ff8b00" stroked="f"/>
              <v:rect id="_x0000_s2366" style="position:absolute;left:6085;top:1188;width:342;height:14" fillcolor="#ff8c00" stroked="f"/>
              <v:rect id="_x0000_s2367" style="position:absolute;left:6085;top:1202;width:342;height:14" fillcolor="#ff8d00" stroked="f"/>
              <v:rect id="_x0000_s2368" style="position:absolute;left:6085;top:1216;width:342;height:14" fillcolor="#ff8e00" stroked="f"/>
              <v:rect id="_x0000_s2369" style="position:absolute;left:6085;top:1230;width:342;height:28" fillcolor="#ff8f00" stroked="f"/>
              <v:rect id="_x0000_s2370" style="position:absolute;left:6085;top:1258;width:342;height:14" fillcolor="#ff9000" stroked="f"/>
              <v:rect id="_x0000_s2371" style="position:absolute;left:6085;top:1272;width:342;height:29" fillcolor="#ff9100" stroked="f"/>
              <v:rect id="_x0000_s2372" style="position:absolute;left:6085;top:1301;width:342;height:14" fillcolor="#ff9200" stroked="f"/>
              <v:rect id="_x0000_s2373" style="position:absolute;left:6085;top:1315;width:342;height:28" fillcolor="#ff9300" stroked="f"/>
              <v:rect id="_x0000_s2374" style="position:absolute;left:6085;top:1343;width:342;height:42" fillcolor="#ff9400" stroked="f"/>
              <v:rect id="_x0000_s2375" style="position:absolute;left:6085;top:1385;width:342;height:14" fillcolor="#ff9500" stroked="f"/>
              <v:rect id="_x0000_s2376" style="position:absolute;left:6085;top:1399;width:342;height:43" fillcolor="#ff9600" stroked="f"/>
              <v:rect id="_x0000_s2377" style="position:absolute;left:6085;top:1442;width:342;height:42" fillcolor="#ff9700" stroked="f"/>
              <v:rect id="_x0000_s2378" style="position:absolute;left:6085;top:1484;width:342;height:71" fillcolor="#ff9800" stroked="f"/>
              <v:rect id="_x0000_s2379" style="position:absolute;left:6085;top:1555;width:342;height:28" fillcolor="#f90" stroked="f"/>
              <v:rect id="_x0000_s2380" style="position:absolute;left:6085;top:213;width:342;height:1370" filled="f" strokeweight=".65pt"/>
              <v:rect id="_x0000_s2381" style="position:absolute;left:6691;top:496;width:355;height:14" fillcolor="#ff0500" stroked="f"/>
              <v:rect id="_x0000_s2382" style="position:absolute;left:6691;top:510;width:355;height:14" fillcolor="#ff0d00" stroked="f"/>
              <v:rect id="_x0000_s2383" style="position:absolute;left:6691;top:524;width:355;height:14" fillcolor="#ff1200" stroked="f"/>
              <v:rect id="_x0000_s2384" style="position:absolute;left:6691;top:538;width:355;height:14" fillcolor="#ff1500" stroked="f"/>
              <v:rect id="_x0000_s2385" style="position:absolute;left:6691;top:552;width:355;height:14" fillcolor="#ff1800" stroked="f"/>
              <v:rect id="_x0000_s2386" style="position:absolute;left:6691;top:566;width:355;height:15" fillcolor="#ff1b00" stroked="f"/>
              <v:rect id="_x0000_s2387" style="position:absolute;left:6691;top:581;width:355;height:14" fillcolor="#ff1d00" stroked="f"/>
              <v:rect id="_x0000_s2388" style="position:absolute;left:6691;top:595;width:355;height:14" fillcolor="#ff2000" stroked="f"/>
              <v:rect id="_x0000_s2389" style="position:absolute;left:6691;top:609;width:355;height:14" fillcolor="#ff2300" stroked="f"/>
              <v:rect id="_x0000_s2390" style="position:absolute;left:6691;top:623;width:355;height:14" fillcolor="#ff2500" stroked="f"/>
              <v:rect id="_x0000_s2391" style="position:absolute;left:6691;top:637;width:355;height:14" fillcolor="#ff2800" stroked="f"/>
              <v:rect id="_x0000_s2392" style="position:absolute;left:6691;top:651;width:355;height:14" fillcolor="#ff2b00" stroked="f"/>
              <v:rect id="_x0000_s2393" style="position:absolute;left:6691;top:665;width:355;height:14" fillcolor="#ff2e00" stroked="f"/>
              <v:rect id="_x0000_s2394" style="position:absolute;left:6691;top:679;width:355;height:14" fillcolor="#ff3000" stroked="f"/>
              <v:rect id="_x0000_s2395" style="position:absolute;left:6691;top:693;width:355;height:15" fillcolor="#ff3200" stroked="f"/>
              <v:rect id="_x0000_s2396" style="position:absolute;left:6691;top:708;width:355;height:14" fillcolor="#ff3600" stroked="f"/>
              <v:rect id="_x0000_s2397" style="position:absolute;left:6691;top:722;width:355;height:14" fillcolor="#ff3700" stroked="f"/>
              <v:rect id="_x0000_s2398" style="position:absolute;left:6691;top:736;width:355;height:14" fillcolor="#ff3a00" stroked="f"/>
              <v:rect id="_x0000_s2399" style="position:absolute;left:6691;top:750;width:355;height:14" fillcolor="#ff3d00" stroked="f"/>
              <v:rect id="_x0000_s2400" style="position:absolute;left:6691;top:764;width:355;height:14" fillcolor="#ff4000" stroked="f"/>
              <v:rect id="_x0000_s2401" style="position:absolute;left:6691;top:778;width:355;height:14" fillcolor="#ff4200" stroked="f"/>
              <v:rect id="_x0000_s2402" style="position:absolute;left:6691;top:792;width:355;height:14" fillcolor="#ff4500" stroked="f"/>
              <v:rect id="_x0000_s2403" style="position:absolute;left:6691;top:806;width:355;height:15" fillcolor="#ff4800" stroked="f"/>
              <v:rect id="_x0000_s2404" style="position:absolute;left:6691;top:821;width:355;height:14" fillcolor="#ff4b00" stroked="f"/>
              <v:rect id="_x0000_s2405" style="position:absolute;left:6691;top:835;width:355;height:14" fillcolor="#ff4d00" stroked="f"/>
              <v:rect id="_x0000_s2406" style="position:absolute;left:6691;top:849;width:355;height:14" fillcolor="#ff5000" stroked="f"/>
              <v:rect id="_x0000_s2407" style="position:absolute;left:6691;top:863;width:355;height:14" fillcolor="#ff5200" stroked="f"/>
              <v:rect id="_x0000_s2408" style="position:absolute;left:6691;top:877;width:355;height:14" fillcolor="#f50" stroked="f"/>
              <v:rect id="_x0000_s2409" style="position:absolute;left:6691;top:891;width:355;height:14" fillcolor="#ff5800" stroked="f"/>
              <v:rect id="_x0000_s2410" style="position:absolute;left:6691;top:905;width:355;height:14" fillcolor="#ff5a00" stroked="f"/>
              <v:rect id="_x0000_s2411" style="position:absolute;left:6691;top:919;width:355;height:15" fillcolor="#ff5c00" stroked="f"/>
              <v:rect id="_x0000_s2412" style="position:absolute;left:6691;top:934;width:355;height:14" fillcolor="#ff5f00" stroked="f"/>
              <v:rect id="_x0000_s2413" style="position:absolute;left:6691;top:948;width:355;height:14" fillcolor="#ff6200" stroked="f"/>
              <v:rect id="_x0000_s2414" style="position:absolute;left:6691;top:962;width:355;height:14" fillcolor="#ff6500" stroked="f"/>
              <v:rect id="_x0000_s2415" style="position:absolute;left:6691;top:976;width:355;height:14" fillcolor="#f60" stroked="f"/>
              <v:rect id="_x0000_s2416" style="position:absolute;left:6691;top:990;width:355;height:14" fillcolor="#ff6900" stroked="f"/>
              <v:rect id="_x0000_s2417" style="position:absolute;left:6691;top:1004;width:355;height:14" fillcolor="#ff6b00" stroked="f"/>
              <v:rect id="_x0000_s2418" style="position:absolute;left:6691;top:1018;width:355;height:14" fillcolor="#ff6e00" stroked="f"/>
              <v:rect id="_x0000_s2419" style="position:absolute;left:6691;top:1032;width:355;height:14" fillcolor="#ff7000" stroked="f"/>
              <v:rect id="_x0000_s2420" style="position:absolute;left:6691;top:1046;width:355;height:15" fillcolor="#ff7200" stroked="f"/>
              <v:rect id="_x0000_s2421" style="position:absolute;left:6691;top:1061;width:355;height:14" fillcolor="#ff7400" stroked="f"/>
              <v:rect id="_x0000_s2422" style="position:absolute;left:6691;top:1075;width:355;height:14" fillcolor="#ff7600" stroked="f"/>
              <v:rect id="_x0000_s2423" style="position:absolute;left:6691;top:1089;width:355;height:14" fillcolor="#ff7800" stroked="f"/>
              <v:rect id="_x0000_s2424" style="position:absolute;left:6691;top:1103;width:355;height:14" fillcolor="#ff7a00" stroked="f"/>
              <v:rect id="_x0000_s2425" style="position:absolute;left:6691;top:1117;width:355;height:14" fillcolor="#ff7c00" stroked="f"/>
              <v:rect id="_x0000_s2426" style="position:absolute;left:6691;top:1131;width:355;height:14" fillcolor="#ff7e00" stroked="f"/>
              <v:rect id="_x0000_s2427" style="position:absolute;left:6691;top:1145;width:355;height:14" fillcolor="#ff7f00" stroked="f"/>
              <v:rect id="_x0000_s2428" style="position:absolute;left:6691;top:1159;width:355;height:15" fillcolor="#ff8100" stroked="f"/>
              <v:rect id="_x0000_s2429" style="position:absolute;left:6691;top:1174;width:355;height:14" fillcolor="#ff8300" stroked="f"/>
              <v:rect id="_x0000_s2430" style="position:absolute;left:6691;top:1188;width:355;height:14" fillcolor="#ff8400" stroked="f"/>
              <v:rect id="_x0000_s2431" style="position:absolute;left:6691;top:1202;width:355;height:14" fillcolor="#ff8600" stroked="f"/>
              <v:rect id="_x0000_s2432" style="position:absolute;left:6691;top:1216;width:355;height:14" fillcolor="#f80" stroked="f"/>
              <v:rect id="_x0000_s2433" style="position:absolute;left:6691;top:1230;width:355;height:14" fillcolor="#ff8900" stroked="f"/>
              <v:rect id="_x0000_s2434" style="position:absolute;left:6691;top:1244;width:355;height:14" fillcolor="#ff8a00" stroked="f"/>
              <v:rect id="_x0000_s2435" style="position:absolute;left:6691;top:1258;width:355;height:14" fillcolor="#ff8b00" stroked="f"/>
            </v:group>
            <v:rect id="_x0000_s2436" style="position:absolute;left:6691;top:1272;width:355;height:15" fillcolor="#ff8c00" stroked="f"/>
            <v:rect id="_x0000_s2437" style="position:absolute;left:6691;top:1287;width:355;height:14" fillcolor="#ff8e00" stroked="f"/>
            <v:rect id="_x0000_s2438" style="position:absolute;left:6691;top:1301;width:355;height:14" fillcolor="#ff8f00" stroked="f"/>
            <v:rect id="_x0000_s2439" style="position:absolute;left:6691;top:1315;width:355;height:28" fillcolor="#ff9000" stroked="f"/>
            <v:rect id="_x0000_s2440" style="position:absolute;left:6691;top:1343;width:355;height:14" fillcolor="#ff9100" stroked="f"/>
            <v:rect id="_x0000_s2441" style="position:absolute;left:6691;top:1357;width:355;height:14" fillcolor="#ff9200" stroked="f"/>
            <v:rect id="_x0000_s2442" style="position:absolute;left:6691;top:1371;width:355;height:14" fillcolor="#ff9300" stroked="f"/>
            <v:rect id="_x0000_s2443" style="position:absolute;left:6691;top:1385;width:355;height:43" fillcolor="#ff9400" stroked="f"/>
            <v:rect id="_x0000_s2444" style="position:absolute;left:6691;top:1428;width:355;height:14" fillcolor="#ff9500" stroked="f"/>
            <v:rect id="_x0000_s2445" style="position:absolute;left:6691;top:1442;width:355;height:28" fillcolor="#ff9600" stroked="f"/>
            <v:rect id="_x0000_s2446" style="position:absolute;left:6691;top:1470;width:355;height:42" fillcolor="#ff9700" stroked="f"/>
            <v:rect id="_x0000_s2447" style="position:absolute;left:6691;top:1512;width:355;height:43" fillcolor="#ff9800" stroked="f"/>
            <v:rect id="_x0000_s2448" style="position:absolute;left:6691;top:1555;width:355;height:28" fillcolor="#f90" stroked="f"/>
            <v:rect id="_x0000_s2449" style="position:absolute;left:6691;top:496;width:355;height:1087" filled="f" strokeweight=".65pt"/>
            <v:rect id="_x0000_s2450" style="position:absolute;left:7310;top:679;width:342;height:14" fillcolor="#ff0300" stroked="f"/>
            <v:rect id="_x0000_s2451" style="position:absolute;left:7310;top:693;width:342;height:15" fillcolor="#ff0900" stroked="f"/>
            <v:rect id="_x0000_s2452" style="position:absolute;left:7310;top:708;width:342;height:14" fillcolor="#ff1000" stroked="f"/>
            <v:rect id="_x0000_s2453" style="position:absolute;left:7310;top:722;width:342;height:14" fillcolor="#ff1600" stroked="f"/>
            <v:rect id="_x0000_s2454" style="position:absolute;left:7310;top:736;width:342;height:14" fillcolor="#ff1b00" stroked="f"/>
            <v:rect id="_x0000_s2455" style="position:absolute;left:7310;top:750;width:342;height:14" fillcolor="#ff1e00" stroked="f"/>
            <v:rect id="_x0000_s2456" style="position:absolute;left:7310;top:764;width:342;height:14" fillcolor="#ff2100" stroked="f"/>
            <v:rect id="_x0000_s2457" style="position:absolute;left:7310;top:778;width:342;height:14" fillcolor="#ff2400" stroked="f"/>
            <v:rect id="_x0000_s2458" style="position:absolute;left:7310;top:792;width:342;height:14" fillcolor="#ff2700" stroked="f"/>
            <v:rect id="_x0000_s2459" style="position:absolute;left:7310;top:806;width:342;height:15" fillcolor="#ff2a00" stroked="f"/>
            <v:rect id="_x0000_s2460" style="position:absolute;left:7310;top:821;width:342;height:14" fillcolor="#ff2d00" stroked="f"/>
            <v:rect id="_x0000_s2461" style="position:absolute;left:7310;top:835;width:342;height:14" fillcolor="#ff3000" stroked="f"/>
            <v:rect id="_x0000_s2462" style="position:absolute;left:7310;top:849;width:342;height:14" fillcolor="#ff3400" stroked="f"/>
            <v:rect id="_x0000_s2463" style="position:absolute;left:7310;top:863;width:342;height:14" fillcolor="#ff3700" stroked="f"/>
            <v:rect id="_x0000_s2464" style="position:absolute;left:7310;top:877;width:342;height:14" fillcolor="#ff3a00" stroked="f"/>
            <v:rect id="_x0000_s2465" style="position:absolute;left:7310;top:891;width:342;height:14" fillcolor="#ff3d00" stroked="f"/>
            <v:rect id="_x0000_s2466" style="position:absolute;left:7310;top:905;width:342;height:14" fillcolor="#ff4100" stroked="f"/>
            <v:rect id="_x0000_s2467" style="position:absolute;left:7310;top:919;width:342;height:15" fillcolor="#f40" stroked="f"/>
            <v:rect id="_x0000_s2468" style="position:absolute;left:7310;top:934;width:342;height:14" fillcolor="#ff4700" stroked="f"/>
            <v:rect id="_x0000_s2469" style="position:absolute;left:7310;top:948;width:342;height:14" fillcolor="#ff4a00" stroked="f"/>
            <v:rect id="_x0000_s2470" style="position:absolute;left:7310;top:962;width:342;height:14" fillcolor="#ff4e00" stroked="f"/>
            <v:rect id="_x0000_s2471" style="position:absolute;left:7310;top:976;width:342;height:14" fillcolor="#ff5100" stroked="f"/>
            <v:rect id="_x0000_s2472" style="position:absolute;left:7310;top:990;width:342;height:14" fillcolor="#ff5400" stroked="f"/>
            <v:rect id="_x0000_s2473" style="position:absolute;left:7310;top:1004;width:342;height:14" fillcolor="#ff5700" stroked="f"/>
            <v:rect id="_x0000_s2474" style="position:absolute;left:7310;top:1018;width:342;height:14" fillcolor="#ff5b00" stroked="f"/>
            <v:rect id="_x0000_s2475" style="position:absolute;left:7310;top:1032;width:342;height:14" fillcolor="#ff5e00" stroked="f"/>
            <v:rect id="_x0000_s2476" style="position:absolute;left:7310;top:1046;width:342;height:15" fillcolor="#ff6100" stroked="f"/>
            <v:rect id="_x0000_s2477" style="position:absolute;left:7310;top:1061;width:342;height:14" fillcolor="#ff6400" stroked="f"/>
            <v:rect id="_x0000_s2478" style="position:absolute;left:7310;top:1075;width:342;height:14" fillcolor="#f60" stroked="f"/>
            <v:rect id="_x0000_s2479" style="position:absolute;left:7310;top:1089;width:342;height:14" fillcolor="#ff6900" stroked="f"/>
            <v:rect id="_x0000_s2480" style="position:absolute;left:7310;top:1103;width:342;height:14" fillcolor="#ff6c00" stroked="f"/>
            <v:rect id="_x0000_s2481" style="position:absolute;left:7310;top:1117;width:342;height:14" fillcolor="#ff6f00" stroked="f"/>
            <v:rect id="_x0000_s2482" style="position:absolute;left:7310;top:1131;width:342;height:14" fillcolor="#ff7100" stroked="f"/>
            <v:rect id="_x0000_s2483" style="position:absolute;left:7310;top:1145;width:342;height:14" fillcolor="#ff7400" stroked="f"/>
            <v:rect id="_x0000_s2484" style="position:absolute;left:7310;top:1159;width:342;height:15" fillcolor="#ff7600" stroked="f"/>
            <v:rect id="_x0000_s2485" style="position:absolute;left:7310;top:1174;width:342;height:14" fillcolor="#ff7900" stroked="f"/>
            <v:rect id="_x0000_s2486" style="position:absolute;left:7310;top:1188;width:342;height:14" fillcolor="#ff7b00" stroked="f"/>
            <v:rect id="_x0000_s2487" style="position:absolute;left:7310;top:1202;width:342;height:14" fillcolor="#ff7d00" stroked="f"/>
            <v:rect id="_x0000_s2488" style="position:absolute;left:7310;top:1216;width:342;height:14" fillcolor="#ff7f00" stroked="f"/>
            <v:rect id="_x0000_s2489" style="position:absolute;left:7310;top:1230;width:342;height:14" fillcolor="#ff8100" stroked="f"/>
            <v:rect id="_x0000_s2490" style="position:absolute;left:7310;top:1244;width:342;height:14" fillcolor="#ff8300" stroked="f"/>
            <v:rect id="_x0000_s2491" style="position:absolute;left:7310;top:1258;width:342;height:14" fillcolor="#ff8500" stroked="f"/>
            <v:rect id="_x0000_s2492" style="position:absolute;left:7310;top:1272;width:342;height:15" fillcolor="#ff8600" stroked="f"/>
            <v:rect id="_x0000_s2493" style="position:absolute;left:7310;top:1287;width:342;height:14" fillcolor="#f80" stroked="f"/>
            <v:rect id="_x0000_s2494" style="position:absolute;left:7310;top:1301;width:342;height:14" fillcolor="#ff8a00" stroked="f"/>
            <v:rect id="_x0000_s2495" style="position:absolute;left:7310;top:1315;width:342;height:14" fillcolor="#ff8b00" stroked="f"/>
            <v:rect id="_x0000_s2496" style="position:absolute;left:7310;top:1329;width:342;height:14" fillcolor="#ff8d00" stroked="f"/>
            <v:rect id="_x0000_s2497" style="position:absolute;left:7310;top:1343;width:342;height:14" fillcolor="#ff8e00" stroked="f"/>
            <v:rect id="_x0000_s2498" style="position:absolute;left:7310;top:1357;width:342;height:14" fillcolor="#ff9000" stroked="f"/>
            <v:rect id="_x0000_s2499" style="position:absolute;left:7310;top:1371;width:342;height:14" fillcolor="#ff9100" stroked="f"/>
            <v:rect id="_x0000_s2500" style="position:absolute;left:7310;top:1385;width:342;height:14" fillcolor="#ff9200" stroked="f"/>
            <v:rect id="_x0000_s2501" style="position:absolute;left:7310;top:1399;width:342;height:29" fillcolor="#ff9300" stroked="f"/>
            <v:rect id="_x0000_s2502" style="position:absolute;left:7310;top:1428;width:342;height:14" fillcolor="#ff9400" stroked="f"/>
            <v:rect id="_x0000_s2503" style="position:absolute;left:7310;top:1442;width:342;height:14" fillcolor="#ff9500" stroked="f"/>
            <v:rect id="_x0000_s2504" style="position:absolute;left:7310;top:1456;width:342;height:28" fillcolor="#ff9600" stroked="f"/>
            <v:rect id="_x0000_s2505" style="position:absolute;left:7310;top:1484;width:342;height:28" fillcolor="#ff9700" stroked="f"/>
            <v:rect id="_x0000_s2506" style="position:absolute;left:7310;top:1512;width:342;height:43" fillcolor="#ff9800" stroked="f"/>
            <v:rect id="_x0000_s2507" style="position:absolute;left:7310;top:1555;width:342;height:28" fillcolor="#f90" stroked="f"/>
            <v:rect id="_x0000_s2508" style="position:absolute;left:7310;top:679;width:342;height:904" filled="f" strokeweight=".65pt"/>
            <v:rect id="_x0000_s2509" style="position:absolute;left:7916;top:905;width:342;height:14" fillcolor="#ff0400" stroked="f"/>
            <v:rect id="_x0000_s2510" style="position:absolute;left:7916;top:919;width:342;height:15" fillcolor="#ff0d00" stroked="f"/>
            <v:rect id="_x0000_s2511" style="position:absolute;left:7916;top:934;width:342;height:14" fillcolor="#ff1500" stroked="f"/>
            <v:rect id="_x0000_s2512" style="position:absolute;left:7916;top:948;width:342;height:14" fillcolor="#ff1b00" stroked="f"/>
            <v:rect id="_x0000_s2513" style="position:absolute;left:7916;top:962;width:342;height:14" fillcolor="#ff1f00" stroked="f"/>
            <v:rect id="_x0000_s2514" style="position:absolute;left:7916;top:976;width:342;height:14" fillcolor="#ff2300" stroked="f"/>
            <v:rect id="_x0000_s2515" style="position:absolute;left:7916;top:990;width:342;height:14" fillcolor="#ff2700" stroked="f"/>
            <v:rect id="_x0000_s2516" style="position:absolute;left:7916;top:1004;width:342;height:14" fillcolor="#ff2c00" stroked="f"/>
            <v:rect id="_x0000_s2517" style="position:absolute;left:7916;top:1018;width:342;height:14" fillcolor="#ff3000" stroked="f"/>
            <v:rect id="_x0000_s2518" style="position:absolute;left:7916;top:1032;width:342;height:14" fillcolor="#ff3400" stroked="f"/>
            <v:rect id="_x0000_s2519" style="position:absolute;left:7916;top:1046;width:342;height:15" fillcolor="#ff3800" stroked="f"/>
            <v:rect id="_x0000_s2520" style="position:absolute;left:7916;top:1061;width:342;height:14" fillcolor="#ff3d00" stroked="f"/>
            <v:rect id="_x0000_s2521" style="position:absolute;left:7916;top:1075;width:342;height:14" fillcolor="#ff4100" stroked="f"/>
            <v:rect id="_x0000_s2522" style="position:absolute;left:7916;top:1089;width:342;height:14" fillcolor="#ff4500" stroked="f"/>
            <v:rect id="_x0000_s2523" style="position:absolute;left:7916;top:1103;width:342;height:14" fillcolor="#ff4a00" stroked="f"/>
            <v:rect id="_x0000_s2524" style="position:absolute;left:7916;top:1117;width:342;height:14" fillcolor="#ff4e00" stroked="f"/>
            <v:rect id="_x0000_s2525" style="position:absolute;left:7916;top:1131;width:342;height:14" fillcolor="#ff5200" stroked="f"/>
            <v:rect id="_x0000_s2526" style="position:absolute;left:7916;top:1145;width:342;height:14" fillcolor="#ff5700" stroked="f"/>
            <v:rect id="_x0000_s2527" style="position:absolute;left:7916;top:1159;width:342;height:15" fillcolor="#ff5b00" stroked="f"/>
            <v:rect id="_x0000_s2528" style="position:absolute;left:7916;top:1174;width:342;height:14" fillcolor="#ff5f00" stroked="f"/>
            <v:rect id="_x0000_s2529" style="position:absolute;left:7916;top:1188;width:342;height:14" fillcolor="#ff6300" stroked="f"/>
            <v:rect id="_x0000_s2530" style="position:absolute;left:7916;top:1202;width:342;height:14" fillcolor="#ff6700" stroked="f"/>
            <v:rect id="_x0000_s2531" style="position:absolute;left:7916;top:1216;width:342;height:14" fillcolor="#ff6a00" stroked="f"/>
            <v:rect id="_x0000_s2532" style="position:absolute;left:7916;top:1230;width:342;height:14" fillcolor="#ff6e00" stroked="f"/>
            <v:rect id="_x0000_s2533" style="position:absolute;left:7916;top:1244;width:342;height:14" fillcolor="#ff7200" stroked="f"/>
            <v:rect id="_x0000_s2534" style="position:absolute;left:7916;top:1258;width:342;height:14" fillcolor="#ff7500" stroked="f"/>
            <v:rect id="_x0000_s2535" style="position:absolute;left:7916;top:1272;width:342;height:15" fillcolor="#ff7800" stroked="f"/>
            <v:rect id="_x0000_s2536" style="position:absolute;left:7916;top:1287;width:342;height:14" fillcolor="#ff7b00" stroked="f"/>
            <v:rect id="_x0000_s2537" style="position:absolute;left:7916;top:1301;width:342;height:14" fillcolor="#ff7e00" stroked="f"/>
            <v:rect id="_x0000_s2538" style="position:absolute;left:7916;top:1315;width:342;height:14" fillcolor="#ff8100" stroked="f"/>
            <v:rect id="_x0000_s2539" style="position:absolute;left:7916;top:1329;width:342;height:14" fillcolor="#ff8300" stroked="f"/>
            <v:rect id="_x0000_s2540" style="position:absolute;left:7916;top:1343;width:342;height:14" fillcolor="#ff8500" stroked="f"/>
            <v:rect id="_x0000_s2541" style="position:absolute;left:7916;top:1357;width:342;height:14" fillcolor="#f80" stroked="f"/>
            <v:rect id="_x0000_s2542" style="position:absolute;left:7916;top:1371;width:342;height:14" fillcolor="#ff8a00" stroked="f"/>
            <v:rect id="_x0000_s2543" style="position:absolute;left:7916;top:1385;width:342;height:14" fillcolor="#ff8c00" stroked="f"/>
            <v:rect id="_x0000_s2544" style="position:absolute;left:7916;top:1399;width:342;height:15" fillcolor="#ff8e00" stroked="f"/>
            <v:rect id="_x0000_s2545" style="position:absolute;left:7916;top:1414;width:342;height:14" fillcolor="#ff9000" stroked="f"/>
            <v:rect id="_x0000_s2546" style="position:absolute;left:7916;top:1428;width:342;height:14" fillcolor="#ff9100" stroked="f"/>
            <v:rect id="_x0000_s2547" style="position:absolute;left:7916;top:1442;width:342;height:14" fillcolor="#ff9200" stroked="f"/>
            <v:rect id="_x0000_s2548" style="position:absolute;left:7916;top:1456;width:342;height:14" fillcolor="#ff9300" stroked="f"/>
            <v:rect id="_x0000_s2549" style="position:absolute;left:7916;top:1470;width:342;height:14" fillcolor="#ff9400" stroked="f"/>
            <v:rect id="_x0000_s2550" style="position:absolute;left:7916;top:1484;width:342;height:14" fillcolor="#ff9500" stroked="f"/>
            <v:rect id="_x0000_s2551" style="position:absolute;left:7916;top:1498;width:342;height:14" fillcolor="#ff9600" stroked="f"/>
            <v:rect id="_x0000_s2552" style="position:absolute;left:7916;top:1512;width:342;height:15" fillcolor="#ff9700" stroked="f"/>
            <v:rect id="_x0000_s2553" style="position:absolute;left:7916;top:1527;width:342;height:42" fillcolor="#ff9800" stroked="f"/>
            <v:rect id="_x0000_s2554" style="position:absolute;left:7916;top:1569;width:342;height:14" fillcolor="#f90" stroked="f"/>
            <v:rect id="_x0000_s2555" style="position:absolute;left:7916;top:905;width:342;height:678" filled="f" strokeweight=".65pt"/>
            <v:line id="_x0000_s2556" style="position:absolute" from="1080,-450" to="1080,1583" strokeweight="0"/>
            <v:line id="_x0000_s2557" style="position:absolute" from="1027,1583" to="1080,1583" strokeweight="0"/>
            <v:line id="_x0000_s2558" style="position:absolute" from="1027,1287" to="1080,1287" strokeweight="0"/>
            <v:line id="_x0000_s2559" style="position:absolute" from="1027,1004" to="1080,1004" strokeweight="0"/>
            <v:line id="_x0000_s2560" style="position:absolute" from="1027,708" to="1080,708" strokeweight="0"/>
            <v:line id="_x0000_s2561" style="position:absolute" from="1027,425" to="1080,425" strokeweight="0"/>
            <v:line id="_x0000_s2562" style="position:absolute" from="1027,129" to="1080,129" strokeweight="0"/>
            <v:line id="_x0000_s2563" style="position:absolute" from="1027,-154" to="1080,-154" strokeweight="0"/>
            <v:line id="_x0000_s2564" style="position:absolute" from="1027,-450" to="1080,-450" strokeweight="0"/>
            <v:line id="_x0000_s2565" style="position:absolute" from="1080,1583" to="8390,1583" strokeweight="0"/>
            <v:line id="_x0000_s2566" style="position:absolute;flip:y" from="1080,1583" to="1080,1640" strokeweight="0"/>
            <v:line id="_x0000_s2567" style="position:absolute;flip:y" from="1686,1583" to="1686,1640" strokeweight="0"/>
            <v:line id="_x0000_s2568" style="position:absolute;flip:y" from="2305,1583" to="2305,1640" strokeweight="0"/>
            <v:line id="_x0000_s2569" style="position:absolute;flip:y" from="2911,1583" to="2911,1640" strokeweight="0"/>
            <v:line id="_x0000_s2570" style="position:absolute;flip:y" from="3517,1583" to="3517,1640" strokeweight="0"/>
            <v:line id="_x0000_s2571" style="position:absolute;flip:y" from="4122,1583" to="4122,1640" strokeweight="0"/>
            <v:line id="_x0000_s2572" style="position:absolute;flip:y" from="4741,1583" to="4741,1640" strokeweight="0"/>
            <v:line id="_x0000_s2573" style="position:absolute;flip:y" from="5347,1583" to="5347,1640" strokeweight="0"/>
            <v:line id="_x0000_s2574" style="position:absolute;flip:y" from="5953,1583" to="5953,1640" strokeweight="0"/>
            <v:line id="_x0000_s2575" style="position:absolute;flip:y" from="6559,1583" to="6559,1640" strokeweight="0"/>
            <v:line id="_x0000_s2576" style="position:absolute;flip:y" from="7178,1583" to="7178,1640" strokeweight="0"/>
            <v:line id="_x0000_s2577" style="position:absolute;flip:y" from="7784,1583" to="7784,1640" strokeweight="0"/>
            <v:line id="_x0000_s2578" style="position:absolute;flip:y" from="8390,1583" to="8390,1640" strokeweight="0"/>
            <v:rect id="_x0000_s2579" style="position:absolute;left:1080;top:-1184;width:6459;height:269;mso-wrap-style:none" filled="f" stroked="f">
              <v:textbox style="mso-next-textbox:#_x0000_s2579;mso-fit-shape-to-text:t" inset="0,0,0,0">
                <w:txbxContent>
                  <w:p w:rsidR="00C03113" w:rsidRPr="00BA4C87" w:rsidRDefault="00C03113" w:rsidP="00D046A1">
                    <w:pPr>
                      <w:rPr>
                        <w:lang w:val="en-GB"/>
                      </w:rPr>
                    </w:pPr>
                    <w:r>
                      <w:rPr>
                        <w:rFonts w:ascii="Calibri" w:hAnsi="Calibri" w:cs="Calibri"/>
                        <w:b/>
                        <w:bCs/>
                        <w:color w:val="000000"/>
                        <w:sz w:val="22"/>
                        <w:szCs w:val="22"/>
                        <w:lang w:val="en-US"/>
                      </w:rPr>
                      <w:t>Fatal occupational accidents reported to SEPE during years</w:t>
                    </w:r>
                    <w:r w:rsidRPr="00BA4C87">
                      <w:rPr>
                        <w:rFonts w:ascii="Calibri" w:hAnsi="Calibri" w:cs="Calibri"/>
                        <w:b/>
                        <w:bCs/>
                        <w:color w:val="000000"/>
                        <w:sz w:val="22"/>
                        <w:szCs w:val="22"/>
                        <w:lang w:val="en-GB"/>
                      </w:rPr>
                      <w:t xml:space="preserve"> 2000 - 2011</w:t>
                    </w:r>
                  </w:p>
                </w:txbxContent>
              </v:textbox>
            </v:rect>
            <v:rect id="_x0000_s2580" style="position:absolute;left:1264;top:1032;width:301;height:207;mso-wrap-style:none" filled="f" stroked="f">
              <v:textbox style="mso-next-textbox:#_x0000_s2580;mso-fit-shape-to-text:t" inset="0,0,0,0">
                <w:txbxContent>
                  <w:p w:rsidR="00C03113" w:rsidRDefault="00C03113" w:rsidP="00D046A1">
                    <w:r>
                      <w:rPr>
                        <w:rFonts w:ascii="Arial" w:hAnsi="Arial" w:cs="Arial"/>
                        <w:b/>
                        <w:bCs/>
                        <w:color w:val="0000FF"/>
                        <w:sz w:val="18"/>
                        <w:szCs w:val="18"/>
                        <w:lang w:val="en-US"/>
                      </w:rPr>
                      <w:t>127</w:t>
                    </w:r>
                  </w:p>
                </w:txbxContent>
              </v:textbox>
            </v:rect>
            <v:rect id="_x0000_s2581" style="position:absolute;left:1870;top:256;width:301;height:207;mso-wrap-style:none" filled="f" stroked="f">
              <v:textbox style="mso-next-textbox:#_x0000_s2581;mso-fit-shape-to-text:t" inset="0,0,0,0">
                <w:txbxContent>
                  <w:p w:rsidR="00C03113" w:rsidRDefault="00C03113" w:rsidP="00D046A1">
                    <w:r>
                      <w:rPr>
                        <w:rFonts w:ascii="Arial" w:hAnsi="Arial" w:cs="Arial"/>
                        <w:b/>
                        <w:bCs/>
                        <w:color w:val="0000FF"/>
                        <w:sz w:val="18"/>
                        <w:szCs w:val="18"/>
                        <w:lang w:val="en-US"/>
                      </w:rPr>
                      <w:t>188</w:t>
                    </w:r>
                  </w:p>
                </w:txbxContent>
              </v:textbox>
            </v:rect>
            <v:rect id="_x0000_s2582" style="position:absolute;left:2489;top:623;width:301;height:207;mso-wrap-style:none" filled="f" stroked="f">
              <v:textbox style="mso-next-textbox:#_x0000_s2582;mso-fit-shape-to-text:t" inset="0,0,0,0">
                <w:txbxContent>
                  <w:p w:rsidR="00C03113" w:rsidRDefault="00C03113" w:rsidP="00D046A1">
                    <w:r>
                      <w:rPr>
                        <w:rFonts w:ascii="Arial" w:hAnsi="Arial" w:cs="Arial"/>
                        <w:b/>
                        <w:bCs/>
                        <w:color w:val="0000FF"/>
                        <w:sz w:val="18"/>
                        <w:szCs w:val="18"/>
                        <w:lang w:val="en-US"/>
                      </w:rPr>
                      <w:t>153</w:t>
                    </w:r>
                  </w:p>
                </w:txbxContent>
              </v:textbox>
            </v:rect>
            <v:rect id="_x0000_s2583" style="position:absolute;left:3069;top:849;width:301;height:207;mso-wrap-style:none" filled="f" stroked="f">
              <v:textbox style="mso-next-textbox:#_x0000_s2583;mso-fit-shape-to-text:t" inset="0,0,0,0">
                <w:txbxContent>
                  <w:p w:rsidR="00C03113" w:rsidRDefault="00C03113" w:rsidP="00D046A1">
                    <w:r>
                      <w:rPr>
                        <w:rFonts w:ascii="Arial" w:hAnsi="Arial" w:cs="Arial"/>
                        <w:b/>
                        <w:bCs/>
                        <w:color w:val="0000FF"/>
                        <w:sz w:val="18"/>
                        <w:szCs w:val="18"/>
                        <w:lang w:val="en-US"/>
                      </w:rPr>
                      <w:t>145</w:t>
                    </w:r>
                  </w:p>
                </w:txbxContent>
              </v:textbox>
            </v:rect>
            <v:rect id="_x0000_s2584" style="position:absolute;left:3648;top:1018;width:301;height:207;mso-wrap-style:none" filled="f" stroked="f">
              <v:textbox style="mso-next-textbox:#_x0000_s2584;mso-fit-shape-to-text:t" inset="0,0,0,0">
                <w:txbxContent>
                  <w:p w:rsidR="00C03113" w:rsidRDefault="00C03113" w:rsidP="00D046A1">
                    <w:r>
                      <w:rPr>
                        <w:rFonts w:ascii="Arial" w:hAnsi="Arial" w:cs="Arial"/>
                        <w:b/>
                        <w:bCs/>
                        <w:color w:val="0000FF"/>
                        <w:sz w:val="18"/>
                        <w:szCs w:val="18"/>
                        <w:lang w:val="en-US"/>
                      </w:rPr>
                      <w:t>127</w:t>
                    </w:r>
                  </w:p>
                </w:txbxContent>
              </v:textbox>
            </v:rect>
            <v:rect id="_x0000_s2585" style="position:absolute;left:4294;top:1216;width:301;height:207;mso-wrap-style:none" filled="f" stroked="f">
              <v:textbox style="mso-next-textbox:#_x0000_s2585;mso-fit-shape-to-text:t" inset="0,0,0,0">
                <w:txbxContent>
                  <w:p w:rsidR="00C03113" w:rsidRDefault="00C03113" w:rsidP="00D046A1">
                    <w:r>
                      <w:rPr>
                        <w:rFonts w:ascii="Arial" w:hAnsi="Arial" w:cs="Arial"/>
                        <w:b/>
                        <w:bCs/>
                        <w:color w:val="0000FF"/>
                        <w:sz w:val="18"/>
                        <w:szCs w:val="18"/>
                        <w:lang w:val="en-US"/>
                      </w:rPr>
                      <w:t>111</w:t>
                    </w:r>
                  </w:p>
                </w:txbxContent>
              </v:textbox>
            </v:rect>
            <v:rect id="_x0000_s2586" style="position:absolute;left:4873;top:1046;width:301;height:207;mso-wrap-style:none" filled="f" stroked="f">
              <v:textbox style="mso-next-textbox:#_x0000_s2586;mso-fit-shape-to-text:t" inset="0,0,0,0">
                <w:txbxContent>
                  <w:p w:rsidR="00C03113" w:rsidRDefault="00C03113" w:rsidP="00D046A1">
                    <w:r>
                      <w:rPr>
                        <w:rFonts w:ascii="Arial" w:hAnsi="Arial" w:cs="Arial"/>
                        <w:b/>
                        <w:bCs/>
                        <w:color w:val="0000FF"/>
                        <w:sz w:val="18"/>
                        <w:szCs w:val="18"/>
                        <w:lang w:val="en-US"/>
                      </w:rPr>
                      <w:t>128</w:t>
                    </w:r>
                  </w:p>
                </w:txbxContent>
              </v:textbox>
            </v:rect>
            <v:rect id="_x0000_s2587" style="position:absolute;left:5532;top:1244;width:301;height:207;mso-wrap-style:none" filled="f" stroked="f">
              <v:textbox style="mso-next-textbox:#_x0000_s2587;mso-fit-shape-to-text:t" inset="0,0,0,0">
                <w:txbxContent>
                  <w:p w:rsidR="00C03113" w:rsidRDefault="00C03113" w:rsidP="00D046A1">
                    <w:r>
                      <w:rPr>
                        <w:rFonts w:ascii="Arial" w:hAnsi="Arial" w:cs="Arial"/>
                        <w:b/>
                        <w:bCs/>
                        <w:color w:val="0000FF"/>
                        <w:sz w:val="18"/>
                        <w:szCs w:val="18"/>
                        <w:lang w:val="en-US"/>
                      </w:rPr>
                      <w:t>115</w:t>
                    </w:r>
                  </w:p>
                </w:txbxContent>
              </v:textbox>
            </v:rect>
            <v:rect id="_x0000_s2588" style="position:absolute;left:6138;top:835;width:301;height:207;mso-wrap-style:none" filled="f" stroked="f">
              <v:textbox style="mso-next-textbox:#_x0000_s2588;mso-fit-shape-to-text:t" inset="0,0,0,0">
                <w:txbxContent>
                  <w:p w:rsidR="00C03113" w:rsidRDefault="00C03113" w:rsidP="00D046A1">
                    <w:r>
                      <w:rPr>
                        <w:rFonts w:ascii="Arial" w:hAnsi="Arial" w:cs="Arial"/>
                        <w:b/>
                        <w:bCs/>
                        <w:color w:val="0000FF"/>
                        <w:sz w:val="18"/>
                        <w:szCs w:val="18"/>
                        <w:lang w:val="en-US"/>
                      </w:rPr>
                      <w:t>142</w:t>
                    </w:r>
                  </w:p>
                </w:txbxContent>
              </v:textbox>
            </v:rect>
            <v:rect id="_x0000_s2589" style="position:absolute;left:6757;top:1004;width:301;height:207;mso-wrap-style:none" filled="f" stroked="f">
              <v:textbox style="mso-next-textbox:#_x0000_s2589;mso-fit-shape-to-text:t" inset="0,0,0,0">
                <w:txbxContent>
                  <w:p w:rsidR="00C03113" w:rsidRDefault="00C03113" w:rsidP="00D046A1">
                    <w:r>
                      <w:rPr>
                        <w:rFonts w:ascii="Arial" w:hAnsi="Arial" w:cs="Arial"/>
                        <w:b/>
                        <w:bCs/>
                        <w:color w:val="0000FF"/>
                        <w:sz w:val="18"/>
                        <w:szCs w:val="18"/>
                        <w:lang w:val="en-US"/>
                      </w:rPr>
                      <w:t>113</w:t>
                    </w:r>
                  </w:p>
                </w:txbxContent>
              </v:textbox>
            </v:rect>
            <v:rect id="_x0000_s2590" style="position:absolute;left:7376;top:1103;width:201;height:207;mso-wrap-style:none" filled="f" stroked="f">
              <v:textbox style="mso-next-textbox:#_x0000_s2590;mso-fit-shape-to-text:t" inset="0,0,0,0">
                <w:txbxContent>
                  <w:p w:rsidR="00C03113" w:rsidRDefault="00C03113" w:rsidP="00D046A1">
                    <w:r>
                      <w:rPr>
                        <w:rFonts w:ascii="Arial" w:hAnsi="Arial" w:cs="Arial"/>
                        <w:b/>
                        <w:bCs/>
                        <w:color w:val="0000FF"/>
                        <w:sz w:val="18"/>
                        <w:szCs w:val="18"/>
                        <w:lang w:val="en-US"/>
                      </w:rPr>
                      <w:t>94</w:t>
                    </w:r>
                  </w:p>
                </w:txbxContent>
              </v:textbox>
            </v:rect>
            <v:rect id="_x0000_s2591" style="position:absolute;left:7981;top:1315;width:201;height:207;mso-wrap-style:none" filled="f" stroked="f">
              <v:textbox style="mso-next-textbox:#_x0000_s2591;mso-fit-shape-to-text:t" inset="0,0,0,0">
                <w:txbxContent>
                  <w:p w:rsidR="00C03113" w:rsidRDefault="00C03113" w:rsidP="00D046A1">
                    <w:r>
                      <w:rPr>
                        <w:rFonts w:ascii="Arial" w:hAnsi="Arial" w:cs="Arial"/>
                        <w:b/>
                        <w:bCs/>
                        <w:color w:val="0000FF"/>
                        <w:sz w:val="18"/>
                        <w:szCs w:val="18"/>
                        <w:lang w:val="en-US"/>
                      </w:rPr>
                      <w:t>70</w:t>
                    </w:r>
                  </w:p>
                </w:txbxContent>
              </v:textbox>
            </v:rect>
            <v:rect id="_x0000_s2592" style="position:absolute;left:856;top:1470;width:101;height:207;mso-wrap-style:none" filled="f" stroked="f">
              <v:textbox style="mso-next-textbox:#_x0000_s2592;mso-fit-shape-to-text:t" inset="0,0,0,0">
                <w:txbxContent>
                  <w:p w:rsidR="00C03113" w:rsidRDefault="00C03113" w:rsidP="00D046A1">
                    <w:r>
                      <w:rPr>
                        <w:rFonts w:ascii="Arial" w:hAnsi="Arial" w:cs="Arial"/>
                        <w:color w:val="000000"/>
                        <w:sz w:val="18"/>
                        <w:szCs w:val="18"/>
                        <w:lang w:val="en-US"/>
                      </w:rPr>
                      <w:t>0</w:t>
                    </w:r>
                  </w:p>
                </w:txbxContent>
              </v:textbox>
            </v:rect>
            <v:rect id="_x0000_s2593" style="position:absolute;left:764;top:1174;width:201;height:207;mso-wrap-style:none" filled="f" stroked="f">
              <v:textbox style="mso-next-textbox:#_x0000_s2593;mso-fit-shape-to-text:t" inset="0,0,0,0">
                <w:txbxContent>
                  <w:p w:rsidR="00C03113" w:rsidRDefault="00C03113" w:rsidP="00D046A1">
                    <w:r>
                      <w:rPr>
                        <w:rFonts w:ascii="Arial" w:hAnsi="Arial" w:cs="Arial"/>
                        <w:color w:val="000000"/>
                        <w:sz w:val="18"/>
                        <w:szCs w:val="18"/>
                        <w:lang w:val="en-US"/>
                      </w:rPr>
                      <w:t>30</w:t>
                    </w:r>
                  </w:p>
                </w:txbxContent>
              </v:textbox>
            </v:rect>
            <v:rect id="_x0000_s2594" style="position:absolute;left:764;top:891;width:201;height:207;mso-wrap-style:none" filled="f" stroked="f">
              <v:textbox style="mso-next-textbox:#_x0000_s2594;mso-fit-shape-to-text:t" inset="0,0,0,0">
                <w:txbxContent>
                  <w:p w:rsidR="00C03113" w:rsidRDefault="00C03113" w:rsidP="00D046A1">
                    <w:r>
                      <w:rPr>
                        <w:rFonts w:ascii="Arial" w:hAnsi="Arial" w:cs="Arial"/>
                        <w:color w:val="000000"/>
                        <w:sz w:val="18"/>
                        <w:szCs w:val="18"/>
                        <w:lang w:val="en-US"/>
                      </w:rPr>
                      <w:t>60</w:t>
                    </w:r>
                  </w:p>
                </w:txbxContent>
              </v:textbox>
            </v:rect>
            <v:rect id="_x0000_s2595" style="position:absolute;left:764;top:595;width:201;height:207;mso-wrap-style:none" filled="f" stroked="f">
              <v:textbox style="mso-next-textbox:#_x0000_s2595;mso-fit-shape-to-text:t" inset="0,0,0,0">
                <w:txbxContent>
                  <w:p w:rsidR="00C03113" w:rsidRDefault="00C03113" w:rsidP="00D046A1">
                    <w:r>
                      <w:rPr>
                        <w:rFonts w:ascii="Arial" w:hAnsi="Arial" w:cs="Arial"/>
                        <w:color w:val="000000"/>
                        <w:sz w:val="18"/>
                        <w:szCs w:val="18"/>
                        <w:lang w:val="en-US"/>
                      </w:rPr>
                      <w:t>90</w:t>
                    </w:r>
                  </w:p>
                </w:txbxContent>
              </v:textbox>
            </v:rect>
            <v:rect id="_x0000_s2596" style="position:absolute;left:672;top:312;width:301;height:207;mso-wrap-style:none" filled="f" stroked="f">
              <v:textbox style="mso-next-textbox:#_x0000_s2596;mso-fit-shape-to-text:t" inset="0,0,0,0">
                <w:txbxContent>
                  <w:p w:rsidR="00C03113" w:rsidRDefault="00C03113" w:rsidP="00D046A1">
                    <w:r>
                      <w:rPr>
                        <w:rFonts w:ascii="Arial" w:hAnsi="Arial" w:cs="Arial"/>
                        <w:color w:val="000000"/>
                        <w:sz w:val="18"/>
                        <w:szCs w:val="18"/>
                        <w:lang w:val="en-US"/>
                      </w:rPr>
                      <w:t>120</w:t>
                    </w:r>
                  </w:p>
                </w:txbxContent>
              </v:textbox>
            </v:rect>
            <v:rect id="_x0000_s2597" style="position:absolute;left:672;top:16;width:301;height:207;mso-wrap-style:none" filled="f" stroked="f">
              <v:textbox style="mso-next-textbox:#_x0000_s2597;mso-fit-shape-to-text:t" inset="0,0,0,0">
                <w:txbxContent>
                  <w:p w:rsidR="00C03113" w:rsidRDefault="00C03113" w:rsidP="00D046A1">
                    <w:r>
                      <w:rPr>
                        <w:rFonts w:ascii="Arial" w:hAnsi="Arial" w:cs="Arial"/>
                        <w:color w:val="000000"/>
                        <w:sz w:val="18"/>
                        <w:szCs w:val="18"/>
                        <w:lang w:val="en-US"/>
                      </w:rPr>
                      <w:t>150</w:t>
                    </w:r>
                  </w:p>
                </w:txbxContent>
              </v:textbox>
            </v:rect>
            <v:rect id="_x0000_s2598" style="position:absolute;left:672;top:-267;width:301;height:207;mso-wrap-style:none" filled="f" stroked="f">
              <v:textbox style="mso-next-textbox:#_x0000_s2598;mso-fit-shape-to-text:t" inset="0,0,0,0">
                <w:txbxContent>
                  <w:p w:rsidR="00C03113" w:rsidRDefault="00C03113" w:rsidP="00D046A1">
                    <w:r>
                      <w:rPr>
                        <w:rFonts w:ascii="Arial" w:hAnsi="Arial" w:cs="Arial"/>
                        <w:color w:val="000000"/>
                        <w:sz w:val="18"/>
                        <w:szCs w:val="18"/>
                        <w:lang w:val="en-US"/>
                      </w:rPr>
                      <w:t>180</w:t>
                    </w:r>
                  </w:p>
                </w:txbxContent>
              </v:textbox>
            </v:rect>
            <v:rect id="_x0000_s2599" style="position:absolute;left:672;top:-563;width:301;height:207;mso-wrap-style:none" filled="f" stroked="f">
              <v:textbox style="mso-next-textbox:#_x0000_s2599;mso-fit-shape-to-text:t" inset="0,0,0,0">
                <w:txbxContent>
                  <w:p w:rsidR="00C03113" w:rsidRDefault="00C03113" w:rsidP="00D046A1">
                    <w:r>
                      <w:rPr>
                        <w:rFonts w:ascii="Arial" w:hAnsi="Arial" w:cs="Arial"/>
                        <w:color w:val="000000"/>
                        <w:sz w:val="18"/>
                        <w:szCs w:val="18"/>
                        <w:lang w:val="en-US"/>
                      </w:rPr>
                      <w:t>210</w:t>
                    </w:r>
                  </w:p>
                </w:txbxContent>
              </v:textbox>
            </v:rect>
            <v:rect id="_x0000_s2600" style="position:absolute;left:1199;top:1738;width:401;height:207;mso-wrap-style:none" filled="f" stroked="f">
              <v:textbox style="mso-next-textbox:#_x0000_s2600;mso-fit-shape-to-text:t" inset="0,0,0,0">
                <w:txbxContent>
                  <w:p w:rsidR="00C03113" w:rsidRDefault="00C03113" w:rsidP="00D046A1">
                    <w:r>
                      <w:rPr>
                        <w:rFonts w:ascii="Arial" w:hAnsi="Arial" w:cs="Arial"/>
                        <w:color w:val="000000"/>
                        <w:sz w:val="18"/>
                        <w:szCs w:val="18"/>
                        <w:lang w:val="en-US"/>
                      </w:rPr>
                      <w:t>2000</w:t>
                    </w:r>
                  </w:p>
                </w:txbxContent>
              </v:textbox>
            </v:rect>
            <v:rect id="_x0000_s2601" style="position:absolute;left:1804;top:1738;width:401;height:207;mso-wrap-style:none" filled="f" stroked="f">
              <v:textbox style="mso-next-textbox:#_x0000_s2601;mso-fit-shape-to-text:t" inset="0,0,0,0">
                <w:txbxContent>
                  <w:p w:rsidR="00C03113" w:rsidRDefault="00C03113" w:rsidP="00D046A1">
                    <w:r>
                      <w:rPr>
                        <w:rFonts w:ascii="Arial" w:hAnsi="Arial" w:cs="Arial"/>
                        <w:color w:val="000000"/>
                        <w:sz w:val="18"/>
                        <w:szCs w:val="18"/>
                        <w:lang w:val="en-US"/>
                      </w:rPr>
                      <w:t>2001</w:t>
                    </w:r>
                  </w:p>
                </w:txbxContent>
              </v:textbox>
            </v:rect>
            <v:rect id="_x0000_s2602" style="position:absolute;left:2423;top:1738;width:401;height:207;mso-wrap-style:none" filled="f" stroked="f">
              <v:textbox style="mso-next-textbox:#_x0000_s2602;mso-fit-shape-to-text:t" inset="0,0,0,0">
                <w:txbxContent>
                  <w:p w:rsidR="00C03113" w:rsidRDefault="00C03113" w:rsidP="00D046A1">
                    <w:r>
                      <w:rPr>
                        <w:rFonts w:ascii="Arial" w:hAnsi="Arial" w:cs="Arial"/>
                        <w:color w:val="000000"/>
                        <w:sz w:val="18"/>
                        <w:szCs w:val="18"/>
                        <w:lang w:val="en-US"/>
                      </w:rPr>
                      <w:t>2002</w:t>
                    </w:r>
                  </w:p>
                </w:txbxContent>
              </v:textbox>
            </v:rect>
            <v:rect id="_x0000_s2603" style="position:absolute;left:3029;top:1738;width:401;height:207;mso-wrap-style:none" filled="f" stroked="f">
              <v:textbox style="mso-next-textbox:#_x0000_s2603;mso-fit-shape-to-text:t" inset="0,0,0,0">
                <w:txbxContent>
                  <w:p w:rsidR="00C03113" w:rsidRDefault="00C03113" w:rsidP="00D046A1">
                    <w:r>
                      <w:rPr>
                        <w:rFonts w:ascii="Arial" w:hAnsi="Arial" w:cs="Arial"/>
                        <w:color w:val="000000"/>
                        <w:sz w:val="18"/>
                        <w:szCs w:val="18"/>
                        <w:lang w:val="en-US"/>
                      </w:rPr>
                      <w:t>2003</w:t>
                    </w:r>
                  </w:p>
                </w:txbxContent>
              </v:textbox>
            </v:rect>
            <v:rect id="_x0000_s2604" style="position:absolute;left:3635;top:1738;width:401;height:207;mso-wrap-style:none" filled="f" stroked="f">
              <v:textbox style="mso-next-textbox:#_x0000_s2604;mso-fit-shape-to-text:t" inset="0,0,0,0">
                <w:txbxContent>
                  <w:p w:rsidR="00C03113" w:rsidRDefault="00C03113" w:rsidP="00D046A1">
                    <w:r>
                      <w:rPr>
                        <w:rFonts w:ascii="Arial" w:hAnsi="Arial" w:cs="Arial"/>
                        <w:color w:val="000000"/>
                        <w:sz w:val="18"/>
                        <w:szCs w:val="18"/>
                        <w:lang w:val="en-US"/>
                      </w:rPr>
                      <w:t>2004</w:t>
                    </w:r>
                  </w:p>
                </w:txbxContent>
              </v:textbox>
            </v:rect>
            <v:rect id="_x0000_s2605" style="position:absolute;left:4241;top:1738;width:401;height:207;mso-wrap-style:none" filled="f" stroked="f">
              <v:textbox style="mso-next-textbox:#_x0000_s2605;mso-fit-shape-to-text:t" inset="0,0,0,0">
                <w:txbxContent>
                  <w:p w:rsidR="00C03113" w:rsidRDefault="00C03113" w:rsidP="00D046A1">
                    <w:r>
                      <w:rPr>
                        <w:rFonts w:ascii="Arial" w:hAnsi="Arial" w:cs="Arial"/>
                        <w:color w:val="000000"/>
                        <w:sz w:val="18"/>
                        <w:szCs w:val="18"/>
                        <w:lang w:val="en-US"/>
                      </w:rPr>
                      <w:t>2005</w:t>
                    </w:r>
                  </w:p>
                </w:txbxContent>
              </v:textbox>
            </v:rect>
            <v:rect id="_x0000_s2606" style="position:absolute;left:4860;top:1738;width:401;height:207;mso-wrap-style:none" filled="f" stroked="f">
              <v:textbox style="mso-next-textbox:#_x0000_s2606;mso-fit-shape-to-text:t" inset="0,0,0,0">
                <w:txbxContent>
                  <w:p w:rsidR="00C03113" w:rsidRDefault="00C03113" w:rsidP="00D046A1">
                    <w:r>
                      <w:rPr>
                        <w:rFonts w:ascii="Arial" w:hAnsi="Arial" w:cs="Arial"/>
                        <w:color w:val="000000"/>
                        <w:sz w:val="18"/>
                        <w:szCs w:val="18"/>
                        <w:lang w:val="en-US"/>
                      </w:rPr>
                      <w:t>2006</w:t>
                    </w:r>
                  </w:p>
                </w:txbxContent>
              </v:textbox>
            </v:rect>
            <v:rect id="_x0000_s2607" style="position:absolute;left:5466;top:1738;width:401;height:207;mso-wrap-style:none" filled="f" stroked="f">
              <v:textbox style="mso-next-textbox:#_x0000_s2607;mso-fit-shape-to-text:t" inset="0,0,0,0">
                <w:txbxContent>
                  <w:p w:rsidR="00C03113" w:rsidRDefault="00C03113" w:rsidP="00D046A1">
                    <w:r>
                      <w:rPr>
                        <w:rFonts w:ascii="Arial" w:hAnsi="Arial" w:cs="Arial"/>
                        <w:color w:val="000000"/>
                        <w:sz w:val="18"/>
                        <w:szCs w:val="18"/>
                        <w:lang w:val="en-US"/>
                      </w:rPr>
                      <w:t>2007</w:t>
                    </w:r>
                  </w:p>
                </w:txbxContent>
              </v:textbox>
            </v:rect>
            <v:rect id="_x0000_s2608" style="position:absolute;left:6072;top:1738;width:401;height:207;mso-wrap-style:none" filled="f" stroked="f">
              <v:textbox style="mso-next-textbox:#_x0000_s2608;mso-fit-shape-to-text:t" inset="0,0,0,0">
                <w:txbxContent>
                  <w:p w:rsidR="00C03113" w:rsidRDefault="00C03113" w:rsidP="00D046A1">
                    <w:r>
                      <w:rPr>
                        <w:rFonts w:ascii="Arial" w:hAnsi="Arial" w:cs="Arial"/>
                        <w:color w:val="000000"/>
                        <w:sz w:val="18"/>
                        <w:szCs w:val="18"/>
                        <w:lang w:val="en-US"/>
                      </w:rPr>
                      <w:t>2008</w:t>
                    </w:r>
                  </w:p>
                </w:txbxContent>
              </v:textbox>
            </v:rect>
            <v:rect id="_x0000_s2609" style="position:absolute;left:6678;top:1738;width:401;height:207;mso-wrap-style:none" filled="f" stroked="f">
              <v:textbox style="mso-next-textbox:#_x0000_s2609;mso-fit-shape-to-text:t" inset="0,0,0,0">
                <w:txbxContent>
                  <w:p w:rsidR="00C03113" w:rsidRDefault="00C03113" w:rsidP="00D046A1">
                    <w:r>
                      <w:rPr>
                        <w:rFonts w:ascii="Arial" w:hAnsi="Arial" w:cs="Arial"/>
                        <w:color w:val="000000"/>
                        <w:sz w:val="18"/>
                        <w:szCs w:val="18"/>
                        <w:lang w:val="en-US"/>
                      </w:rPr>
                      <w:t>2009</w:t>
                    </w:r>
                  </w:p>
                </w:txbxContent>
              </v:textbox>
            </v:rect>
            <v:rect id="_x0000_s2610" style="position:absolute;left:7297;top:1738;width:401;height:207;mso-wrap-style:none" filled="f" stroked="f">
              <v:textbox style="mso-next-textbox:#_x0000_s2610;mso-fit-shape-to-text:t" inset="0,0,0,0">
                <w:txbxContent>
                  <w:p w:rsidR="00C03113" w:rsidRDefault="00C03113" w:rsidP="00D046A1">
                    <w:r>
                      <w:rPr>
                        <w:rFonts w:ascii="Arial" w:hAnsi="Arial" w:cs="Arial"/>
                        <w:color w:val="000000"/>
                        <w:sz w:val="18"/>
                        <w:szCs w:val="18"/>
                        <w:lang w:val="en-US"/>
                      </w:rPr>
                      <w:t>2010</w:t>
                    </w:r>
                  </w:p>
                </w:txbxContent>
              </v:textbox>
            </v:rect>
            <v:rect id="_x0000_s2611" style="position:absolute;left:7902;top:1738;width:401;height:207;mso-wrap-style:none" filled="f" stroked="f">
              <v:textbox style="mso-next-textbox:#_x0000_s2611;mso-fit-shape-to-text:t" inset="0,0,0,0">
                <w:txbxContent>
                  <w:p w:rsidR="00C03113" w:rsidRDefault="00C03113" w:rsidP="00D046A1">
                    <w:r>
                      <w:rPr>
                        <w:rFonts w:ascii="Arial" w:hAnsi="Arial" w:cs="Arial"/>
                        <w:color w:val="000000"/>
                        <w:sz w:val="18"/>
                        <w:szCs w:val="18"/>
                        <w:lang w:val="en-US"/>
                      </w:rPr>
                      <w:t>2011</w:t>
                    </w:r>
                  </w:p>
                </w:txbxContent>
              </v:textbox>
            </v:rect>
            <v:rect id="_x0000_s2612" style="position:absolute;left:4531;top:2091;width:450;height:293;mso-wrap-style:none" filled="f" stroked="f">
              <v:textbox style="mso-next-textbox:#_x0000_s2612;mso-fit-shape-to-text:t" inset="0,0,0,0">
                <w:txbxContent>
                  <w:p w:rsidR="00C03113" w:rsidRDefault="00C03113" w:rsidP="00D046A1">
                    <w:r>
                      <w:rPr>
                        <w:rFonts w:ascii="Calibri" w:hAnsi="Calibri" w:cs="Calibri"/>
                        <w:b/>
                        <w:bCs/>
                        <w:color w:val="000000"/>
                        <w:lang w:val="en-US"/>
                      </w:rPr>
                      <w:t>Year</w:t>
                    </w:r>
                  </w:p>
                </w:txbxContent>
              </v:textbox>
            </v:rect>
            <v:rect id="_x0000_s2613" style="position:absolute;left:66;top:-1297;width:8495;height:3840" filled="f" strokeweight="0"/>
            <w10:anchorlock/>
          </v:group>
        </w:pict>
      </w:r>
    </w:p>
    <w:p w:rsidR="00822681" w:rsidRDefault="00822681">
      <w:pPr>
        <w:ind w:right="26"/>
        <w:jc w:val="both"/>
        <w:rPr>
          <w:u w:val="single"/>
          <w:lang w:val="en-US"/>
        </w:rPr>
      </w:pPr>
    </w:p>
    <w:p w:rsidR="00144B05" w:rsidRPr="00FA648A" w:rsidRDefault="00144B05" w:rsidP="00144B05">
      <w:pPr>
        <w:tabs>
          <w:tab w:val="left" w:pos="5760"/>
          <w:tab w:val="left" w:pos="7020"/>
        </w:tabs>
        <w:ind w:right="26"/>
        <w:jc w:val="both"/>
        <w:rPr>
          <w:rFonts w:eastAsia="Batang"/>
          <w:b/>
          <w:bCs/>
          <w:lang w:val="en-US"/>
        </w:rPr>
      </w:pPr>
      <w:r w:rsidRPr="00FA648A">
        <w:rPr>
          <w:rFonts w:eastAsia="Batang"/>
          <w:b/>
          <w:bCs/>
          <w:lang w:val="en-US"/>
        </w:rPr>
        <w:t xml:space="preserve">Legislation concerning the collective dismissals </w:t>
      </w:r>
    </w:p>
    <w:p w:rsidR="00144B05" w:rsidRPr="007805B7" w:rsidRDefault="00555E51" w:rsidP="00144B05">
      <w:pPr>
        <w:pStyle w:val="Title"/>
        <w:jc w:val="both"/>
        <w:rPr>
          <w:rFonts w:ascii="Times New Roman" w:hAnsi="Times New Roman"/>
          <w:b w:val="0"/>
          <w:bCs w:val="0"/>
          <w:szCs w:val="25"/>
          <w:u w:val="none"/>
          <w:lang w:val="en-GB" w:eastAsia="el-GR"/>
        </w:rPr>
      </w:pPr>
      <w:r>
        <w:rPr>
          <w:rFonts w:ascii="Times New Roman" w:hAnsi="Times New Roman"/>
          <w:b w:val="0"/>
          <w:bCs w:val="0"/>
          <w:szCs w:val="25"/>
          <w:u w:val="none"/>
          <w:lang w:val="en-GB" w:eastAsia="el-GR"/>
        </w:rPr>
        <w:t>97.</w:t>
      </w:r>
      <w:r>
        <w:rPr>
          <w:rFonts w:ascii="Times New Roman" w:hAnsi="Times New Roman"/>
          <w:b w:val="0"/>
          <w:bCs w:val="0"/>
          <w:szCs w:val="25"/>
          <w:u w:val="none"/>
          <w:lang w:val="en-GB" w:eastAsia="el-GR"/>
        </w:rPr>
        <w:tab/>
      </w:r>
      <w:r w:rsidR="00144B05" w:rsidRPr="007805B7">
        <w:rPr>
          <w:rFonts w:ascii="Times New Roman" w:hAnsi="Times New Roman"/>
          <w:b w:val="0"/>
          <w:bCs w:val="0"/>
          <w:szCs w:val="25"/>
          <w:u w:val="none"/>
          <w:lang w:val="en-GB" w:eastAsia="el-GR"/>
        </w:rPr>
        <w:t>In accordance with the provisions of article 74, paragraph 1 of Law No 3863/2010 on the “New Social Security System and other relevant provisions, regulations on labour relations” it is provided that collective dismissals limits are adjusted as follows:</w:t>
      </w:r>
    </w:p>
    <w:p w:rsidR="00144B05" w:rsidRPr="007805B7" w:rsidRDefault="00144B05" w:rsidP="00A41944">
      <w:pPr>
        <w:pStyle w:val="Title"/>
        <w:numPr>
          <w:ilvl w:val="0"/>
          <w:numId w:val="36"/>
        </w:numPr>
        <w:ind w:left="0" w:firstLine="0"/>
        <w:jc w:val="both"/>
        <w:rPr>
          <w:rFonts w:ascii="Times New Roman" w:hAnsi="Times New Roman"/>
          <w:b w:val="0"/>
          <w:bCs w:val="0"/>
          <w:szCs w:val="25"/>
          <w:u w:val="none"/>
          <w:lang w:val="en-GB" w:eastAsia="el-GR"/>
        </w:rPr>
      </w:pPr>
      <w:r w:rsidRPr="007805B7">
        <w:rPr>
          <w:rFonts w:ascii="Times New Roman" w:hAnsi="Times New Roman"/>
          <w:b w:val="0"/>
          <w:bCs w:val="0"/>
          <w:szCs w:val="25"/>
          <w:u w:val="none"/>
          <w:lang w:val="en-GB" w:eastAsia="el-GR"/>
        </w:rPr>
        <w:t>Up to six (6) employees for businesses with 20 to 150 employees</w:t>
      </w:r>
    </w:p>
    <w:p w:rsidR="00144B05" w:rsidRPr="007805B7" w:rsidRDefault="00144B05" w:rsidP="00A41944">
      <w:pPr>
        <w:pStyle w:val="Title"/>
        <w:numPr>
          <w:ilvl w:val="0"/>
          <w:numId w:val="36"/>
        </w:numPr>
        <w:ind w:left="0" w:firstLine="0"/>
        <w:jc w:val="both"/>
        <w:rPr>
          <w:rFonts w:ascii="Times New Roman" w:hAnsi="Times New Roman"/>
          <w:b w:val="0"/>
          <w:bCs w:val="0"/>
          <w:szCs w:val="25"/>
          <w:u w:val="none"/>
          <w:lang w:val="en-GB" w:eastAsia="el-GR"/>
        </w:rPr>
      </w:pPr>
      <w:r w:rsidRPr="007805B7">
        <w:rPr>
          <w:rFonts w:ascii="Times New Roman" w:hAnsi="Times New Roman"/>
          <w:b w:val="0"/>
          <w:bCs w:val="0"/>
          <w:szCs w:val="25"/>
          <w:u w:val="none"/>
          <w:lang w:val="en-GB" w:eastAsia="el-GR"/>
        </w:rPr>
        <w:t xml:space="preserve">5% of the total staff and up to thirty (30) employees for businesses with more than 150 employees  </w:t>
      </w:r>
    </w:p>
    <w:p w:rsidR="00A41944" w:rsidRPr="00144B05" w:rsidRDefault="00A41944">
      <w:pPr>
        <w:ind w:right="26"/>
        <w:jc w:val="both"/>
        <w:rPr>
          <w:u w:val="single"/>
          <w:lang w:val="en-GB"/>
        </w:rPr>
      </w:pPr>
    </w:p>
    <w:p w:rsidR="00822681" w:rsidRDefault="00822681">
      <w:pPr>
        <w:ind w:right="26"/>
        <w:jc w:val="both"/>
        <w:rPr>
          <w:u w:val="single"/>
          <w:lang w:val="en-US"/>
        </w:rPr>
      </w:pPr>
    </w:p>
    <w:p w:rsidR="00822681" w:rsidRDefault="00822681">
      <w:pPr>
        <w:ind w:right="26"/>
        <w:jc w:val="center"/>
        <w:rPr>
          <w:b/>
          <w:lang w:val="en-US"/>
        </w:rPr>
      </w:pPr>
      <w:r>
        <w:rPr>
          <w:b/>
          <w:lang w:val="en-US"/>
        </w:rPr>
        <w:t>ARTICLE 8</w:t>
      </w:r>
    </w:p>
    <w:p w:rsidR="00822681" w:rsidRDefault="00822681">
      <w:pPr>
        <w:ind w:right="26"/>
        <w:jc w:val="both"/>
        <w:rPr>
          <w:b/>
          <w:lang w:val="en-US"/>
        </w:rPr>
      </w:pPr>
    </w:p>
    <w:p w:rsidR="00822681" w:rsidRDefault="00555E51">
      <w:pPr>
        <w:ind w:right="26"/>
        <w:jc w:val="both"/>
        <w:rPr>
          <w:szCs w:val="25"/>
          <w:lang w:val="en-US"/>
        </w:rPr>
      </w:pPr>
      <w:r>
        <w:rPr>
          <w:szCs w:val="25"/>
          <w:lang w:val="en-US"/>
        </w:rPr>
        <w:t>98.</w:t>
      </w:r>
      <w:r>
        <w:rPr>
          <w:szCs w:val="25"/>
          <w:lang w:val="en-US"/>
        </w:rPr>
        <w:tab/>
      </w:r>
      <w:r w:rsidR="00822681">
        <w:rPr>
          <w:szCs w:val="25"/>
          <w:lang w:val="en-US"/>
        </w:rPr>
        <w:t>According to the data from the General Confederation of Greek Workers (GSEE) its members are as follows:</w:t>
      </w:r>
    </w:p>
    <w:p w:rsidR="00822681" w:rsidRDefault="00822681">
      <w:pPr>
        <w:ind w:right="26"/>
        <w:jc w:val="both"/>
        <w:rPr>
          <w:szCs w:val="25"/>
          <w:lang w:val="en-US"/>
        </w:rPr>
      </w:pPr>
      <w:r>
        <w:rPr>
          <w:szCs w:val="25"/>
          <w:lang w:val="en-US"/>
        </w:rPr>
        <w:t>Primary Trade Union Organizations, members of GSEE  2,587</w:t>
      </w:r>
    </w:p>
    <w:p w:rsidR="00822681" w:rsidRDefault="00822681">
      <w:pPr>
        <w:ind w:right="26"/>
        <w:jc w:val="both"/>
        <w:rPr>
          <w:szCs w:val="25"/>
          <w:lang w:val="en-US"/>
        </w:rPr>
      </w:pPr>
      <w:r>
        <w:rPr>
          <w:szCs w:val="25"/>
          <w:lang w:val="en-US"/>
        </w:rPr>
        <w:t>Secondary Trade Union Organizations, members of GSEE   157</w:t>
      </w:r>
    </w:p>
    <w:p w:rsidR="00822681" w:rsidRDefault="00822681">
      <w:pPr>
        <w:ind w:right="26"/>
        <w:jc w:val="both"/>
        <w:rPr>
          <w:szCs w:val="25"/>
          <w:lang w:val="en-US"/>
        </w:rPr>
      </w:pPr>
      <w:r>
        <w:rPr>
          <w:szCs w:val="25"/>
          <w:lang w:val="en-US"/>
        </w:rPr>
        <w:t>Registered Natural Persons Members of GSEE  905,375</w:t>
      </w:r>
    </w:p>
    <w:p w:rsidR="00822681" w:rsidRDefault="00822681">
      <w:pPr>
        <w:ind w:right="26"/>
        <w:jc w:val="both"/>
        <w:rPr>
          <w:szCs w:val="25"/>
          <w:lang w:val="en-US"/>
        </w:rPr>
      </w:pPr>
    </w:p>
    <w:p w:rsidR="00822681" w:rsidRDefault="00822681">
      <w:pPr>
        <w:ind w:right="26"/>
        <w:jc w:val="both"/>
        <w:rPr>
          <w:b/>
          <w:szCs w:val="25"/>
          <w:lang w:val="en-US"/>
        </w:rPr>
      </w:pPr>
      <w:r>
        <w:rPr>
          <w:b/>
          <w:szCs w:val="25"/>
          <w:lang w:val="en-US"/>
        </w:rPr>
        <w:t>Police personnel</w:t>
      </w:r>
    </w:p>
    <w:p w:rsidR="00822681" w:rsidRDefault="00555E51" w:rsidP="00FA648A">
      <w:pPr>
        <w:jc w:val="both"/>
        <w:rPr>
          <w:szCs w:val="22"/>
          <w:lang w:val="en-US"/>
        </w:rPr>
      </w:pPr>
      <w:r>
        <w:rPr>
          <w:lang w:val="en-US"/>
        </w:rPr>
        <w:t>99.</w:t>
      </w:r>
      <w:r>
        <w:rPr>
          <w:lang w:val="en-US"/>
        </w:rPr>
        <w:tab/>
      </w:r>
      <w:r w:rsidR="00FA648A">
        <w:rPr>
          <w:lang w:val="en-US"/>
        </w:rPr>
        <w:t>Law 1264/1982</w:t>
      </w:r>
      <w:r w:rsidR="00822681">
        <w:rPr>
          <w:lang w:val="en-US"/>
        </w:rPr>
        <w:t xml:space="preserve"> “For the Democratization of Trade Union Movement and the Protection of Trade Union Freedoms”, as modified by Law 2783/1999 and article 18 of Law 3938/2011, protects trade unions rights and regulates the establishment, the organization, the operation and the act</w:t>
      </w:r>
      <w:r w:rsidR="00FA648A">
        <w:rPr>
          <w:lang w:val="en-US"/>
        </w:rPr>
        <w:t xml:space="preserve">ion of trade unions. </w:t>
      </w:r>
      <w:r w:rsidR="00822681">
        <w:rPr>
          <w:szCs w:val="22"/>
          <w:lang w:val="en-US"/>
        </w:rPr>
        <w:t>Within this framework, unions of police officers, law enforcement officials, border guards and special guards operate throughout Greece, representing the persons employed by the Hellenic Police in all prefectures in the country. Moreover, senior police officers, lower ranking police officers and border guards have established trade union organizations and have become members of the European Council of Police Unions and of the European Confederation of Police Unions.</w:t>
      </w:r>
    </w:p>
    <w:p w:rsidR="00822681" w:rsidRDefault="00822681">
      <w:pPr>
        <w:ind w:right="26"/>
        <w:jc w:val="both"/>
        <w:rPr>
          <w:szCs w:val="22"/>
          <w:lang w:val="en-US"/>
        </w:rPr>
      </w:pPr>
    </w:p>
    <w:p w:rsidR="00822681" w:rsidRDefault="00555E51">
      <w:pPr>
        <w:ind w:right="26"/>
        <w:jc w:val="both"/>
        <w:rPr>
          <w:szCs w:val="22"/>
          <w:lang w:val="en-US"/>
        </w:rPr>
      </w:pPr>
      <w:r>
        <w:rPr>
          <w:szCs w:val="22"/>
          <w:lang w:val="en-US"/>
        </w:rPr>
        <w:t>100.</w:t>
      </w:r>
      <w:r>
        <w:rPr>
          <w:szCs w:val="22"/>
          <w:lang w:val="en-US"/>
        </w:rPr>
        <w:tab/>
      </w:r>
      <w:r w:rsidR="00822681">
        <w:rPr>
          <w:szCs w:val="22"/>
          <w:lang w:val="en-US"/>
        </w:rPr>
        <w:t>There are no limitations imposed by the Hellenic State and Police by-laws as regards the establishment of confederations of police unions and the participation of the said  unions in international organizations. Moreover, there are no limitations as regards their free action, with the exception of the provis</w:t>
      </w:r>
      <w:r w:rsidR="000E365D">
        <w:rPr>
          <w:szCs w:val="22"/>
          <w:lang w:val="en-US"/>
        </w:rPr>
        <w:t xml:space="preserve">ions of Article 3 of Article </w:t>
      </w:r>
      <w:r w:rsidR="000E365D">
        <w:rPr>
          <w:szCs w:val="22"/>
          <w:lang w:val="en-US"/>
        </w:rPr>
        <w:lastRenderedPageBreak/>
        <w:t>30A</w:t>
      </w:r>
      <w:r w:rsidR="00822681">
        <w:rPr>
          <w:szCs w:val="22"/>
          <w:lang w:val="en-US"/>
        </w:rPr>
        <w:t>, according to which, without prejudice to Article 281 of Civil Code (abuse of rights), the exercise of trade rights shall be subject to the specific limitations imposed by the particularities, the mission and, more importantly, the national and independent nature of the Hellenic Police.</w:t>
      </w:r>
    </w:p>
    <w:p w:rsidR="00822681" w:rsidRDefault="00822681">
      <w:pPr>
        <w:pStyle w:val="a0"/>
        <w:tabs>
          <w:tab w:val="clear" w:pos="709"/>
        </w:tabs>
        <w:spacing w:line="240" w:lineRule="auto"/>
        <w:ind w:right="26" w:firstLine="0"/>
        <w:rPr>
          <w:rFonts w:ascii="Times New Roman" w:hAnsi="Times New Roman" w:cs="Times New Roman"/>
          <w:sz w:val="24"/>
          <w:szCs w:val="24"/>
          <w:lang w:val="en-US"/>
        </w:rPr>
      </w:pPr>
    </w:p>
    <w:p w:rsidR="00822681" w:rsidRDefault="00822681">
      <w:pPr>
        <w:pStyle w:val="a0"/>
        <w:tabs>
          <w:tab w:val="clear" w:pos="709"/>
        </w:tabs>
        <w:spacing w:line="240" w:lineRule="auto"/>
        <w:ind w:right="26" w:firstLine="0"/>
        <w:rPr>
          <w:rFonts w:ascii="Times New Roman" w:hAnsi="Times New Roman" w:cs="Times New Roman"/>
          <w:b/>
          <w:sz w:val="24"/>
          <w:szCs w:val="24"/>
          <w:lang w:val="en-US"/>
        </w:rPr>
      </w:pPr>
      <w:r>
        <w:rPr>
          <w:rFonts w:ascii="Times New Roman" w:hAnsi="Times New Roman" w:cs="Times New Roman"/>
          <w:b/>
          <w:sz w:val="24"/>
          <w:szCs w:val="24"/>
          <w:lang w:val="en-US"/>
        </w:rPr>
        <w:t>Judicial officials</w:t>
      </w:r>
    </w:p>
    <w:p w:rsidR="00822681" w:rsidRDefault="00555E51">
      <w:pPr>
        <w:pStyle w:val="BodyText"/>
        <w:ind w:right="26"/>
        <w:jc w:val="both"/>
        <w:rPr>
          <w:rFonts w:ascii="Times New Roman" w:hAnsi="Times New Roman"/>
          <w:lang w:val="en-US"/>
        </w:rPr>
      </w:pPr>
      <w:r>
        <w:rPr>
          <w:rFonts w:ascii="Times New Roman" w:hAnsi="Times New Roman"/>
          <w:lang w:val="en-US"/>
        </w:rPr>
        <w:t>101.</w:t>
      </w:r>
      <w:r>
        <w:rPr>
          <w:rFonts w:ascii="Times New Roman" w:hAnsi="Times New Roman"/>
          <w:lang w:val="en-US"/>
        </w:rPr>
        <w:tab/>
      </w:r>
      <w:r w:rsidR="00822681">
        <w:rPr>
          <w:rFonts w:ascii="Times New Roman" w:hAnsi="Times New Roman"/>
          <w:lang w:val="en-US"/>
        </w:rPr>
        <w:t xml:space="preserve">Article 23 (2) (a) of the Greek Constitution stipulates that the right to strike at any form is forbidden to the judicial officials. Nevertheless, article 89 (1) of the Constitution provides that it is allowed to establish union of magistrates (judges and prosecutors) as the law determines. Such unions of magistrates have already been established and operate in </w:t>
      </w:r>
      <w:smartTag w:uri="urn:schemas-microsoft-com:office:smarttags" w:element="country-region">
        <w:smartTag w:uri="urn:schemas-microsoft-com:office:smarttags" w:element="place">
          <w:r w:rsidR="00822681">
            <w:rPr>
              <w:rFonts w:ascii="Times New Roman" w:hAnsi="Times New Roman"/>
              <w:lang w:val="en-US"/>
            </w:rPr>
            <w:t>Greece</w:t>
          </w:r>
        </w:smartTag>
      </w:smartTag>
      <w:r w:rsidR="00822681">
        <w:rPr>
          <w:rFonts w:ascii="Times New Roman" w:hAnsi="Times New Roman"/>
          <w:lang w:val="en-US"/>
        </w:rPr>
        <w:t xml:space="preserve">. </w:t>
      </w:r>
    </w:p>
    <w:p w:rsidR="00822681" w:rsidRDefault="00822681">
      <w:pPr>
        <w:pStyle w:val="a0"/>
        <w:tabs>
          <w:tab w:val="clear" w:pos="709"/>
        </w:tabs>
        <w:spacing w:line="240" w:lineRule="auto"/>
        <w:ind w:right="26" w:firstLine="0"/>
        <w:rPr>
          <w:rFonts w:ascii="Times New Roman" w:hAnsi="Times New Roman" w:cs="Times New Roman"/>
          <w:sz w:val="24"/>
          <w:szCs w:val="24"/>
          <w:u w:val="single"/>
          <w:lang w:val="en-US"/>
        </w:rPr>
      </w:pPr>
    </w:p>
    <w:p w:rsidR="00822681" w:rsidRDefault="00822681">
      <w:pPr>
        <w:pStyle w:val="a0"/>
        <w:tabs>
          <w:tab w:val="clear" w:pos="709"/>
        </w:tabs>
        <w:spacing w:line="240" w:lineRule="auto"/>
        <w:ind w:right="26" w:firstLine="0"/>
        <w:rPr>
          <w:rFonts w:ascii="Times New Roman" w:hAnsi="Times New Roman" w:cs="Times New Roman"/>
          <w:b/>
          <w:sz w:val="24"/>
          <w:szCs w:val="24"/>
          <w:lang w:val="en-US"/>
        </w:rPr>
      </w:pPr>
      <w:r>
        <w:rPr>
          <w:rFonts w:ascii="Times New Roman" w:hAnsi="Times New Roman" w:cs="Times New Roman"/>
          <w:b/>
          <w:sz w:val="24"/>
          <w:szCs w:val="24"/>
          <w:lang w:val="en-US"/>
        </w:rPr>
        <w:t>Military personnel</w:t>
      </w:r>
    </w:p>
    <w:p w:rsidR="00822681" w:rsidRDefault="00555E51">
      <w:pPr>
        <w:ind w:right="26"/>
        <w:jc w:val="both"/>
        <w:rPr>
          <w:lang w:val="en-US"/>
        </w:rPr>
      </w:pPr>
      <w:r>
        <w:rPr>
          <w:lang w:val="en-US"/>
        </w:rPr>
        <w:t>102.</w:t>
      </w:r>
      <w:r>
        <w:rPr>
          <w:lang w:val="en-US"/>
        </w:rPr>
        <w:tab/>
      </w:r>
      <w:r w:rsidR="00822681">
        <w:rPr>
          <w:lang w:val="en-US"/>
        </w:rPr>
        <w:t>The military staff of the Greek Armed Forces are not allowed to establish or to join trade union organizations or to participate in strikes, as long as they are still in service in the Armed Forces.</w:t>
      </w:r>
    </w:p>
    <w:p w:rsidR="00822681" w:rsidRDefault="00822681">
      <w:pPr>
        <w:ind w:right="26"/>
        <w:jc w:val="both"/>
        <w:rPr>
          <w:u w:val="single"/>
          <w:lang w:val="en-US"/>
        </w:rPr>
      </w:pPr>
    </w:p>
    <w:p w:rsidR="00D82C32" w:rsidRDefault="00D82C32">
      <w:pPr>
        <w:ind w:right="26"/>
        <w:jc w:val="center"/>
        <w:rPr>
          <w:b/>
          <w:lang w:val="en-US"/>
        </w:rPr>
      </w:pPr>
    </w:p>
    <w:p w:rsidR="00822681" w:rsidRDefault="00822681">
      <w:pPr>
        <w:ind w:right="26"/>
        <w:jc w:val="center"/>
        <w:rPr>
          <w:b/>
          <w:lang w:val="en-US"/>
        </w:rPr>
      </w:pPr>
      <w:r>
        <w:rPr>
          <w:b/>
          <w:lang w:val="en-US"/>
        </w:rPr>
        <w:t>ARTICLE 9</w:t>
      </w:r>
    </w:p>
    <w:p w:rsidR="00822681" w:rsidRDefault="00822681">
      <w:pPr>
        <w:pStyle w:val="BodyText3"/>
        <w:ind w:right="26"/>
        <w:jc w:val="both"/>
        <w:rPr>
          <w:b/>
          <w:bCs/>
          <w:sz w:val="24"/>
          <w:szCs w:val="24"/>
          <w:u w:val="single"/>
          <w:lang w:val="en-US"/>
        </w:rPr>
      </w:pPr>
    </w:p>
    <w:p w:rsidR="00822681" w:rsidRDefault="00822681">
      <w:pPr>
        <w:pStyle w:val="BodyText3"/>
        <w:ind w:right="26"/>
        <w:jc w:val="both"/>
        <w:rPr>
          <w:b/>
          <w:bCs/>
          <w:sz w:val="24"/>
          <w:szCs w:val="24"/>
          <w:lang w:val="en-US"/>
        </w:rPr>
      </w:pPr>
      <w:r>
        <w:rPr>
          <w:b/>
          <w:bCs/>
          <w:sz w:val="24"/>
          <w:szCs w:val="24"/>
          <w:lang w:val="en-US"/>
        </w:rPr>
        <w:t>Welfare benefits</w:t>
      </w:r>
    </w:p>
    <w:p w:rsidR="00EF3B27" w:rsidRPr="00422FF6" w:rsidRDefault="00555E51">
      <w:pPr>
        <w:pStyle w:val="BodyText3"/>
        <w:ind w:right="26"/>
        <w:jc w:val="both"/>
        <w:rPr>
          <w:sz w:val="24"/>
          <w:szCs w:val="24"/>
          <w:lang w:val="en-GB"/>
        </w:rPr>
      </w:pPr>
      <w:r>
        <w:rPr>
          <w:sz w:val="24"/>
          <w:szCs w:val="24"/>
          <w:lang w:val="en-US"/>
        </w:rPr>
        <w:t>103.</w:t>
      </w:r>
      <w:r>
        <w:rPr>
          <w:sz w:val="24"/>
          <w:szCs w:val="24"/>
          <w:lang w:val="en-US"/>
        </w:rPr>
        <w:tab/>
      </w:r>
      <w:r w:rsidR="00822681">
        <w:rPr>
          <w:sz w:val="24"/>
          <w:szCs w:val="24"/>
          <w:lang w:val="en-US"/>
        </w:rPr>
        <w:t xml:space="preserve">The Ministry of Health and Social Solidarity applies through the competent Agencies </w:t>
      </w:r>
      <w:r w:rsidR="00822681">
        <w:rPr>
          <w:b/>
          <w:bCs/>
          <w:sz w:val="24"/>
          <w:szCs w:val="24"/>
          <w:lang w:val="en-US"/>
        </w:rPr>
        <w:t xml:space="preserve">10 </w:t>
      </w:r>
      <w:r w:rsidR="00822681">
        <w:rPr>
          <w:sz w:val="24"/>
          <w:szCs w:val="24"/>
          <w:lang w:val="en-US"/>
        </w:rPr>
        <w:t>financial aid programmes in relation to the benefits of the social security funds, depending on the type and percentage of disabi</w:t>
      </w:r>
      <w:r w:rsidR="00422FF6">
        <w:rPr>
          <w:sz w:val="24"/>
          <w:szCs w:val="24"/>
          <w:lang w:val="en-US"/>
        </w:rPr>
        <w:t>lity, the insurance status, etc</w:t>
      </w:r>
      <w:r w:rsidR="00422FF6" w:rsidRPr="00422FF6">
        <w:rPr>
          <w:sz w:val="24"/>
          <w:szCs w:val="24"/>
          <w:lang w:val="en-GB"/>
        </w:rPr>
        <w:t xml:space="preserve">. </w:t>
      </w:r>
      <w:r w:rsidR="00EF3B27" w:rsidRPr="00EF3B27">
        <w:rPr>
          <w:sz w:val="24"/>
          <w:szCs w:val="24"/>
          <w:lang w:val="en-US"/>
        </w:rPr>
        <w:t xml:space="preserve">According to </w:t>
      </w:r>
      <w:r w:rsidR="00422FF6">
        <w:rPr>
          <w:sz w:val="24"/>
          <w:szCs w:val="24"/>
        </w:rPr>
        <w:t>Α</w:t>
      </w:r>
      <w:r w:rsidR="00EF3B27" w:rsidRPr="00EF3B27">
        <w:rPr>
          <w:sz w:val="24"/>
          <w:szCs w:val="24"/>
          <w:lang w:val="en-US"/>
        </w:rPr>
        <w:t xml:space="preserve">rt. 9 of </w:t>
      </w:r>
      <w:r w:rsidR="00422FF6">
        <w:rPr>
          <w:sz w:val="24"/>
          <w:szCs w:val="24"/>
          <w:lang w:val="en-US"/>
        </w:rPr>
        <w:t>law</w:t>
      </w:r>
      <w:r w:rsidR="00422FF6" w:rsidRPr="00422FF6">
        <w:rPr>
          <w:sz w:val="24"/>
          <w:szCs w:val="24"/>
          <w:lang w:val="en-GB"/>
        </w:rPr>
        <w:t xml:space="preserve"> </w:t>
      </w:r>
      <w:r w:rsidR="00422FF6">
        <w:rPr>
          <w:sz w:val="24"/>
          <w:szCs w:val="24"/>
          <w:lang w:val="en-US"/>
        </w:rPr>
        <w:t>4052/2012</w:t>
      </w:r>
      <w:r w:rsidR="00422FF6" w:rsidRPr="00422FF6">
        <w:rPr>
          <w:sz w:val="24"/>
          <w:szCs w:val="24"/>
          <w:lang w:val="en-GB"/>
        </w:rPr>
        <w:t xml:space="preserve">, </w:t>
      </w:r>
      <w:r w:rsidR="00EF3B27" w:rsidRPr="00EF3B27">
        <w:rPr>
          <w:sz w:val="24"/>
          <w:szCs w:val="24"/>
          <w:lang w:val="en-US"/>
        </w:rPr>
        <w:t xml:space="preserve">the Welfare department will </w:t>
      </w:r>
      <w:r w:rsidR="00422FF6">
        <w:rPr>
          <w:sz w:val="24"/>
          <w:szCs w:val="24"/>
          <w:lang w:val="en-US"/>
        </w:rPr>
        <w:t>be transferred to</w:t>
      </w:r>
      <w:r w:rsidR="00EF3B27" w:rsidRPr="00EF3B27">
        <w:rPr>
          <w:sz w:val="24"/>
          <w:szCs w:val="24"/>
          <w:lang w:val="en-US"/>
        </w:rPr>
        <w:t xml:space="preserve"> the Ministry of Labour and Social Protection starting with 1.07.2012.</w:t>
      </w:r>
    </w:p>
    <w:p w:rsidR="00822681" w:rsidRDefault="00555E51">
      <w:pPr>
        <w:pStyle w:val="BodyText3"/>
        <w:ind w:right="26"/>
        <w:jc w:val="both"/>
        <w:rPr>
          <w:sz w:val="24"/>
          <w:szCs w:val="24"/>
          <w:lang w:val="en-US"/>
        </w:rPr>
      </w:pPr>
      <w:r>
        <w:rPr>
          <w:sz w:val="24"/>
          <w:szCs w:val="24"/>
          <w:lang w:val="en-US"/>
        </w:rPr>
        <w:t>104.</w:t>
      </w:r>
      <w:r>
        <w:rPr>
          <w:sz w:val="24"/>
          <w:szCs w:val="24"/>
          <w:lang w:val="en-US"/>
        </w:rPr>
        <w:tab/>
      </w:r>
      <w:r w:rsidR="00822681">
        <w:rPr>
          <w:sz w:val="24"/>
          <w:szCs w:val="24"/>
          <w:lang w:val="en-US"/>
        </w:rPr>
        <w:t>The financial aid sum is not linked to the income of the recipient of public assistance and the relevant tax exemption.</w:t>
      </w:r>
    </w:p>
    <w:p w:rsidR="00822681" w:rsidRPr="00422FF6" w:rsidRDefault="00555E51" w:rsidP="00422FF6">
      <w:pPr>
        <w:pStyle w:val="BodyText3"/>
        <w:ind w:right="26"/>
        <w:jc w:val="both"/>
        <w:rPr>
          <w:sz w:val="24"/>
          <w:szCs w:val="24"/>
          <w:lang w:val="en-US"/>
        </w:rPr>
      </w:pPr>
      <w:r>
        <w:rPr>
          <w:sz w:val="24"/>
          <w:szCs w:val="24"/>
          <w:lang w:val="en-US"/>
        </w:rPr>
        <w:t>105.</w:t>
      </w:r>
      <w:r>
        <w:rPr>
          <w:sz w:val="24"/>
          <w:szCs w:val="24"/>
          <w:lang w:val="en-US"/>
        </w:rPr>
        <w:tab/>
      </w:r>
      <w:r w:rsidR="00822681" w:rsidRPr="00422FF6">
        <w:rPr>
          <w:sz w:val="24"/>
          <w:szCs w:val="24"/>
          <w:lang w:val="en-US"/>
        </w:rPr>
        <w:t xml:space="preserve">In addition, in the framework of the benefits policy applied by the Ministry of Health and Social Solidarity, the </w:t>
      </w:r>
      <w:r w:rsidR="00822681" w:rsidRPr="00422FF6">
        <w:rPr>
          <w:bCs/>
          <w:i/>
          <w:iCs/>
          <w:sz w:val="24"/>
          <w:szCs w:val="24"/>
          <w:lang w:val="en-US"/>
        </w:rPr>
        <w:t>transport benefit</w:t>
      </w:r>
      <w:r w:rsidR="00822681" w:rsidRPr="00422FF6">
        <w:rPr>
          <w:sz w:val="24"/>
          <w:szCs w:val="24"/>
          <w:lang w:val="en-US"/>
        </w:rPr>
        <w:t xml:space="preserve"> was established</w:t>
      </w:r>
      <w:r w:rsidR="00822681" w:rsidRPr="00422FF6">
        <w:rPr>
          <w:sz w:val="24"/>
          <w:szCs w:val="24"/>
          <w:lang w:val="en-GB"/>
        </w:rPr>
        <w:t>,</w:t>
      </w:r>
      <w:r w:rsidR="00822681" w:rsidRPr="00422FF6">
        <w:rPr>
          <w:sz w:val="24"/>
          <w:szCs w:val="24"/>
          <w:lang w:val="en-US"/>
        </w:rPr>
        <w:t xml:space="preserve"> replacing the </w:t>
      </w:r>
      <w:r w:rsidR="00822681" w:rsidRPr="00422FF6">
        <w:rPr>
          <w:bCs/>
          <w:i/>
          <w:iCs/>
          <w:sz w:val="24"/>
          <w:szCs w:val="24"/>
          <w:lang w:val="en-US"/>
        </w:rPr>
        <w:t>fuel benefit</w:t>
      </w:r>
      <w:r w:rsidR="00822681" w:rsidRPr="00422FF6">
        <w:rPr>
          <w:sz w:val="24"/>
          <w:szCs w:val="24"/>
          <w:lang w:val="en-US"/>
        </w:rPr>
        <w:t>, as specified by Law 3627/2007. For the maternity benefit and the benefit of a family with many children, see article 10 of this report.</w:t>
      </w:r>
      <w:r w:rsidR="00422FF6" w:rsidRPr="00422FF6">
        <w:rPr>
          <w:sz w:val="24"/>
          <w:szCs w:val="24"/>
          <w:lang w:val="en-US"/>
        </w:rPr>
        <w:t xml:space="preserve"> </w:t>
      </w:r>
      <w:r w:rsidR="00822681" w:rsidRPr="00422FF6">
        <w:rPr>
          <w:sz w:val="24"/>
          <w:szCs w:val="24"/>
          <w:lang w:val="en-US"/>
        </w:rPr>
        <w:t>For the nutrition benefits of kidney patients, see article 12 of this report.</w:t>
      </w:r>
      <w:r w:rsidR="00422FF6" w:rsidRPr="00422FF6">
        <w:rPr>
          <w:sz w:val="24"/>
          <w:szCs w:val="24"/>
          <w:lang w:val="en-US"/>
        </w:rPr>
        <w:t xml:space="preserve"> </w:t>
      </w:r>
      <w:r w:rsidR="00822681" w:rsidRPr="00422FF6">
        <w:rPr>
          <w:sz w:val="24"/>
          <w:szCs w:val="24"/>
          <w:lang w:val="en-US"/>
        </w:rPr>
        <w:t>For the benefits of housing aid in case of calamity and to repatriating aliens of Greek descent, see article 11 of this report.</w:t>
      </w:r>
      <w:r w:rsidR="00422FF6" w:rsidRPr="00422FF6">
        <w:rPr>
          <w:sz w:val="24"/>
          <w:szCs w:val="24"/>
          <w:lang w:val="en-US"/>
        </w:rPr>
        <w:t xml:space="preserve"> </w:t>
      </w:r>
      <w:r w:rsidR="00822681" w:rsidRPr="00422FF6">
        <w:rPr>
          <w:sz w:val="24"/>
          <w:szCs w:val="24"/>
          <w:lang w:val="en-US"/>
        </w:rPr>
        <w:t>The disability benefits include the benefit for HIV-positive persons and haemophiliacs</w:t>
      </w:r>
      <w:r w:rsidR="00822681">
        <w:rPr>
          <w:lang w:val="en-US"/>
        </w:rPr>
        <w:t>.</w:t>
      </w:r>
    </w:p>
    <w:p w:rsidR="00822681" w:rsidRDefault="00822681">
      <w:pPr>
        <w:ind w:right="26"/>
        <w:jc w:val="both"/>
        <w:rPr>
          <w:u w:val="single"/>
          <w:lang w:val="en-US"/>
        </w:rPr>
      </w:pPr>
    </w:p>
    <w:p w:rsidR="00822681" w:rsidRDefault="00822681">
      <w:pPr>
        <w:ind w:right="26"/>
        <w:jc w:val="both"/>
        <w:rPr>
          <w:b/>
          <w:lang w:val="en-US"/>
        </w:rPr>
      </w:pPr>
      <w:r>
        <w:rPr>
          <w:b/>
          <w:lang w:val="en-US"/>
        </w:rPr>
        <w:t>Social security benefits</w:t>
      </w:r>
    </w:p>
    <w:p w:rsidR="006B2D3E" w:rsidRDefault="00555E51" w:rsidP="006B2D3E">
      <w:pPr>
        <w:ind w:right="26"/>
        <w:jc w:val="both"/>
        <w:rPr>
          <w:bCs/>
          <w:lang w:val="en-US"/>
        </w:rPr>
      </w:pPr>
      <w:r>
        <w:rPr>
          <w:lang w:val="en-US"/>
        </w:rPr>
        <w:t>106.</w:t>
      </w:r>
      <w:r>
        <w:rPr>
          <w:lang w:val="en-US"/>
        </w:rPr>
        <w:tab/>
      </w:r>
      <w:r w:rsidR="006B2D3E">
        <w:rPr>
          <w:lang w:val="en-US"/>
        </w:rPr>
        <w:t xml:space="preserve">Social security is guaranteed by the Greek Constitution (article 22 par. 5). The system of social security functions through self-governed Organizations and covers all the employees throughout the country. In the sector of social protection, over the last years, a long-lasting social dialogue was being led in </w:t>
      </w:r>
      <w:smartTag w:uri="urn:schemas-microsoft-com:office:smarttags" w:element="country-region">
        <w:smartTag w:uri="urn:schemas-microsoft-com:office:smarttags" w:element="place">
          <w:r w:rsidR="006B2D3E">
            <w:rPr>
              <w:lang w:val="en-US"/>
            </w:rPr>
            <w:t>Greece</w:t>
          </w:r>
        </w:smartTag>
      </w:smartTag>
      <w:r w:rsidR="006B2D3E">
        <w:rPr>
          <w:lang w:val="en-US"/>
        </w:rPr>
        <w:t xml:space="preserve">, aiming at the reform of the social insurance system, in order to </w:t>
      </w:r>
      <w:r w:rsidR="006B2D3E">
        <w:rPr>
          <w:bCs/>
          <w:lang w:val="en-US"/>
        </w:rPr>
        <w:t>guarantee a secure future and to ensure a modern, rational, socially fair and viable system with long-lasting prospect.</w:t>
      </w:r>
    </w:p>
    <w:p w:rsidR="00822681" w:rsidRDefault="00822681">
      <w:pPr>
        <w:ind w:right="26"/>
        <w:jc w:val="both"/>
        <w:rPr>
          <w:bCs/>
          <w:lang w:val="en-US"/>
        </w:rPr>
      </w:pPr>
    </w:p>
    <w:p w:rsidR="00822681" w:rsidRDefault="00555E51">
      <w:pPr>
        <w:ind w:right="26"/>
        <w:jc w:val="both"/>
        <w:rPr>
          <w:lang w:val="en-US"/>
        </w:rPr>
      </w:pPr>
      <w:r>
        <w:rPr>
          <w:lang w:val="en-US"/>
        </w:rPr>
        <w:t>107.</w:t>
      </w:r>
      <w:r>
        <w:rPr>
          <w:lang w:val="en-US"/>
        </w:rPr>
        <w:tab/>
      </w:r>
      <w:r w:rsidR="00822681">
        <w:rPr>
          <w:lang w:val="en-US"/>
        </w:rPr>
        <w:t xml:space="preserve">A basic concern in this effort was </w:t>
      </w:r>
      <w:r w:rsidR="00822681">
        <w:rPr>
          <w:bCs/>
          <w:lang w:val="en-US"/>
        </w:rPr>
        <w:t>to maintain the public, global, obligatory</w:t>
      </w:r>
      <w:r w:rsidR="00822681">
        <w:rPr>
          <w:b/>
          <w:lang w:val="en-US"/>
        </w:rPr>
        <w:t xml:space="preserve"> </w:t>
      </w:r>
      <w:r w:rsidR="00822681">
        <w:rPr>
          <w:bCs/>
          <w:lang w:val="en-US"/>
        </w:rPr>
        <w:t>and redistributive character of social insurance</w:t>
      </w:r>
      <w:r w:rsidR="00822681">
        <w:rPr>
          <w:b/>
          <w:lang w:val="en-US"/>
        </w:rPr>
        <w:t xml:space="preserve"> </w:t>
      </w:r>
      <w:r w:rsidR="00822681">
        <w:rPr>
          <w:lang w:val="en-US"/>
        </w:rPr>
        <w:t xml:space="preserve">and at the same time face great problems that have been accumulated during the last few decades (e.g. efficient </w:t>
      </w:r>
      <w:r w:rsidR="00822681">
        <w:rPr>
          <w:lang w:val="en-US"/>
        </w:rPr>
        <w:lastRenderedPageBreak/>
        <w:t>management of the social security organizations’ assets, existence of a large number of social insurance organizations).</w:t>
      </w:r>
    </w:p>
    <w:p w:rsidR="00822681" w:rsidRDefault="00822681">
      <w:pPr>
        <w:ind w:right="26"/>
        <w:jc w:val="both"/>
        <w:rPr>
          <w:lang w:val="en-US"/>
        </w:rPr>
      </w:pPr>
    </w:p>
    <w:p w:rsidR="00822681" w:rsidRDefault="00555E51">
      <w:pPr>
        <w:ind w:right="26"/>
        <w:jc w:val="both"/>
        <w:rPr>
          <w:lang w:val="en-US"/>
        </w:rPr>
      </w:pPr>
      <w:r>
        <w:rPr>
          <w:lang w:val="en-US"/>
        </w:rPr>
        <w:t>108.</w:t>
      </w:r>
      <w:r>
        <w:rPr>
          <w:lang w:val="en-US"/>
        </w:rPr>
        <w:tab/>
      </w:r>
      <w:r w:rsidR="00822681">
        <w:rPr>
          <w:lang w:val="en-US"/>
        </w:rPr>
        <w:t>Law No 3655 was adopted in April 2008 to reform the Greek social security system and ensure its sustainability and capacity to provide for the social protection needs of citizens. The law integrated the pre-existing 133 institutions and branches into 13 social security institutions. The new structure simplified supervision and strengthened efforts to reduce contribution evasion and unregistered work. It has also enacted the procedure to lead to better investment yields through more effective and better management of funds. Furthermore</w:t>
      </w:r>
      <w:r w:rsidR="00422FF6">
        <w:rPr>
          <w:lang w:val="en-US"/>
        </w:rPr>
        <w:t>,</w:t>
      </w:r>
      <w:r w:rsidR="00822681">
        <w:rPr>
          <w:lang w:val="en-US"/>
        </w:rPr>
        <w:t xml:space="preserve"> the Social Security Capital for Intergenerational Solidarity (AKAGE), which will guarantee the social security program</w:t>
      </w:r>
      <w:r w:rsidR="00822681">
        <w:rPr>
          <w:lang w:val="en-GB"/>
        </w:rPr>
        <w:t>m</w:t>
      </w:r>
      <w:r w:rsidR="00822681">
        <w:rPr>
          <w:lang w:val="en-US"/>
        </w:rPr>
        <w:t>es in Greece, will be funded by earmarking 10% of the proceeds of the privatization of public enterprises, 4% of the annual income derived from the VAT and 10% of social resources. The fund will remain “locked” until 2019.</w:t>
      </w:r>
    </w:p>
    <w:p w:rsidR="00822681" w:rsidRDefault="00822681">
      <w:pPr>
        <w:ind w:right="26"/>
        <w:jc w:val="both"/>
        <w:rPr>
          <w:lang w:val="en-US"/>
        </w:rPr>
      </w:pPr>
    </w:p>
    <w:p w:rsidR="00822681" w:rsidRDefault="00555E51">
      <w:pPr>
        <w:ind w:right="26"/>
        <w:jc w:val="both"/>
        <w:rPr>
          <w:u w:val="single"/>
          <w:lang w:val="en-US"/>
        </w:rPr>
      </w:pPr>
      <w:r>
        <w:rPr>
          <w:lang w:val="en-US"/>
        </w:rPr>
        <w:t>109.</w:t>
      </w:r>
      <w:r>
        <w:rPr>
          <w:lang w:val="en-US"/>
        </w:rPr>
        <w:tab/>
      </w:r>
      <w:r w:rsidR="00822681">
        <w:rPr>
          <w:lang w:val="en-US"/>
        </w:rPr>
        <w:t>For easier transactions and cross-reference, from 1.6.2009 the National Social Security Record Number (AMKA) has been established as the single, mandatory social security number for the very first time and for employment for everyone directly or indirectly insured, in order to be employed, to be insured and pay contributions, to renew the healthcare booklet and to receive pensions, benefits and allowances.</w:t>
      </w:r>
    </w:p>
    <w:p w:rsidR="00822681" w:rsidRDefault="00822681">
      <w:pPr>
        <w:ind w:right="26"/>
        <w:jc w:val="both"/>
        <w:rPr>
          <w:lang w:val="en-US"/>
        </w:rPr>
      </w:pPr>
    </w:p>
    <w:p w:rsidR="006B2D3E" w:rsidRDefault="00555E51" w:rsidP="006B2D3E">
      <w:pPr>
        <w:ind w:right="26"/>
        <w:jc w:val="both"/>
        <w:rPr>
          <w:lang w:val="en-GB"/>
        </w:rPr>
      </w:pPr>
      <w:r>
        <w:rPr>
          <w:lang w:val="en-US"/>
        </w:rPr>
        <w:t>110.</w:t>
      </w:r>
      <w:r>
        <w:rPr>
          <w:lang w:val="en-US"/>
        </w:rPr>
        <w:tab/>
      </w:r>
      <w:r w:rsidR="006B2D3E">
        <w:rPr>
          <w:lang w:val="en-US"/>
        </w:rPr>
        <w:t>The recent social security law No.</w:t>
      </w:r>
      <w:r w:rsidR="006B2D3E">
        <w:rPr>
          <w:lang w:val="en-GB"/>
        </w:rPr>
        <w:t xml:space="preserve"> </w:t>
      </w:r>
      <w:r w:rsidR="006B2D3E">
        <w:rPr>
          <w:lang w:val="en-US"/>
        </w:rPr>
        <w:t>3863/2010 changes the structure of the retirement system in our country. From1 January 2015 onwards the main</w:t>
      </w:r>
      <w:r w:rsidR="006B2D3E">
        <w:rPr>
          <w:lang w:val="en-GB"/>
        </w:rPr>
        <w:t xml:space="preserve"> statutory </w:t>
      </w:r>
      <w:r w:rsidR="006B2D3E">
        <w:rPr>
          <w:lang w:val="en-US"/>
        </w:rPr>
        <w:t xml:space="preserve">pension will consist of the basic pension and the proportional pension. The </w:t>
      </w:r>
      <w:r w:rsidR="006B2D3E">
        <w:rPr>
          <w:b/>
          <w:lang w:val="en-US"/>
        </w:rPr>
        <w:t>basic pension</w:t>
      </w:r>
      <w:r w:rsidR="006B2D3E">
        <w:rPr>
          <w:lang w:val="en-US"/>
        </w:rPr>
        <w:t xml:space="preserve"> will be granted by all Social Security Organizations and the State to beneficiaries who are at least 65 years old and fulfill criteria based on their income and residence in the country. </w:t>
      </w:r>
      <w:r w:rsidR="006B2D3E">
        <w:rPr>
          <w:lang w:val="en-GB"/>
        </w:rPr>
        <w:t xml:space="preserve">The </w:t>
      </w:r>
      <w:r w:rsidR="006B2D3E">
        <w:rPr>
          <w:b/>
          <w:lang w:val="en-GB"/>
        </w:rPr>
        <w:t>proportional pension</w:t>
      </w:r>
      <w:r w:rsidR="006B2D3E">
        <w:rPr>
          <w:lang w:val="en-GB"/>
        </w:rPr>
        <w:t xml:space="preserve"> is paid on the basis of the entire insured life of the person entitled to pension. It is calculated for each full year of insurance, on the basis of percentages of the anticipated pensionable earnings which are established by the law. </w:t>
      </w:r>
    </w:p>
    <w:p w:rsidR="006B2D3E" w:rsidRDefault="006B2D3E" w:rsidP="006B2D3E">
      <w:pPr>
        <w:ind w:right="26"/>
        <w:jc w:val="both"/>
        <w:rPr>
          <w:lang w:val="en-GB"/>
        </w:rPr>
      </w:pPr>
    </w:p>
    <w:p w:rsidR="00EF3B27" w:rsidRPr="006B2D3E" w:rsidRDefault="00555E51" w:rsidP="006B2D3E">
      <w:pPr>
        <w:ind w:right="26"/>
        <w:jc w:val="both"/>
        <w:rPr>
          <w:lang w:val="en-US"/>
        </w:rPr>
      </w:pPr>
      <w:r>
        <w:rPr>
          <w:lang w:val="en-GB"/>
        </w:rPr>
        <w:t>111.</w:t>
      </w:r>
      <w:r>
        <w:rPr>
          <w:lang w:val="en-GB"/>
        </w:rPr>
        <w:tab/>
      </w:r>
      <w:r w:rsidR="00EF3B27">
        <w:rPr>
          <w:lang w:val="en-GB"/>
        </w:rPr>
        <w:t xml:space="preserve">The recent social security law also </w:t>
      </w:r>
      <w:r w:rsidR="00EF3B27" w:rsidRPr="00835FC8">
        <w:rPr>
          <w:lang w:val="en-US"/>
        </w:rPr>
        <w:t>establishes</w:t>
      </w:r>
      <w:r w:rsidR="00EF3B27">
        <w:rPr>
          <w:lang w:val="en-US"/>
        </w:rPr>
        <w:t xml:space="preserve"> the following</w:t>
      </w:r>
      <w:r w:rsidR="00EF3B27" w:rsidRPr="00835FC8">
        <w:rPr>
          <w:lang w:val="en-US"/>
        </w:rPr>
        <w:t xml:space="preserve">: </w:t>
      </w:r>
    </w:p>
    <w:p w:rsidR="00EF3B27" w:rsidRPr="000F7791" w:rsidRDefault="00EF3B27" w:rsidP="00EF3B27">
      <w:pPr>
        <w:ind w:right="26"/>
        <w:jc w:val="both"/>
        <w:rPr>
          <w:lang w:val="en-GB"/>
        </w:rPr>
      </w:pPr>
    </w:p>
    <w:p w:rsidR="006B2D3E" w:rsidRDefault="006B2D3E" w:rsidP="006B2D3E">
      <w:pPr>
        <w:ind w:right="26"/>
        <w:jc w:val="both"/>
        <w:rPr>
          <w:lang w:val="en-US"/>
        </w:rPr>
      </w:pPr>
      <w:r>
        <w:rPr>
          <w:b/>
          <w:i/>
          <w:lang w:val="en-US"/>
        </w:rPr>
        <w:t>-</w:t>
      </w:r>
      <w:r>
        <w:rPr>
          <w:b/>
          <w:i/>
          <w:lang w:val="en-GB"/>
        </w:rPr>
        <w:t xml:space="preserve">   </w:t>
      </w:r>
      <w:r>
        <w:rPr>
          <w:b/>
          <w:i/>
          <w:lang w:val="en-US"/>
        </w:rPr>
        <w:t xml:space="preserve">Unified conditions </w:t>
      </w:r>
      <w:r>
        <w:rPr>
          <w:lang w:val="en-US"/>
        </w:rPr>
        <w:t xml:space="preserve">for retirement and </w:t>
      </w:r>
      <w:r>
        <w:rPr>
          <w:b/>
          <w:i/>
          <w:lang w:val="en-US"/>
        </w:rPr>
        <w:t xml:space="preserve">unified rules </w:t>
      </w:r>
      <w:r>
        <w:rPr>
          <w:lang w:val="en-US"/>
        </w:rPr>
        <w:t xml:space="preserve">for the calculation of pensions for all. </w:t>
      </w:r>
    </w:p>
    <w:p w:rsidR="006B2D3E" w:rsidRDefault="006B2D3E" w:rsidP="006B2D3E">
      <w:pPr>
        <w:ind w:right="26"/>
        <w:jc w:val="both"/>
        <w:rPr>
          <w:lang w:val="en-US"/>
        </w:rPr>
      </w:pPr>
    </w:p>
    <w:p w:rsidR="006B2D3E" w:rsidRDefault="006B2D3E" w:rsidP="006B2D3E">
      <w:pPr>
        <w:ind w:right="26"/>
        <w:jc w:val="both"/>
        <w:rPr>
          <w:lang w:val="en-US"/>
        </w:rPr>
      </w:pPr>
      <w:r>
        <w:rPr>
          <w:lang w:val="en-US"/>
        </w:rPr>
        <w:t>-</w:t>
      </w:r>
      <w:r>
        <w:rPr>
          <w:lang w:val="en-GB"/>
        </w:rPr>
        <w:t xml:space="preserve">   </w:t>
      </w:r>
      <w:r>
        <w:rPr>
          <w:lang w:val="en-US"/>
        </w:rPr>
        <w:t xml:space="preserve">Minimum thresholds are established for old-age, disability and survivors’ pensions, which currently (2010) amount to the minimum pension thresholds and which shall be annually adjusted. </w:t>
      </w:r>
    </w:p>
    <w:p w:rsidR="006B2D3E" w:rsidRDefault="006B2D3E" w:rsidP="006B2D3E">
      <w:pPr>
        <w:ind w:right="26"/>
        <w:jc w:val="both"/>
        <w:rPr>
          <w:lang w:val="en-US"/>
        </w:rPr>
      </w:pPr>
    </w:p>
    <w:p w:rsidR="006B2D3E" w:rsidRDefault="006B2D3E" w:rsidP="006B2D3E">
      <w:pPr>
        <w:ind w:right="26"/>
        <w:jc w:val="both"/>
        <w:rPr>
          <w:lang w:val="en-US"/>
        </w:rPr>
      </w:pPr>
      <w:r>
        <w:rPr>
          <w:lang w:val="en-US"/>
        </w:rPr>
        <w:t>-</w:t>
      </w:r>
      <w:r>
        <w:rPr>
          <w:lang w:val="en-GB"/>
        </w:rPr>
        <w:t xml:space="preserve">   </w:t>
      </w:r>
      <w:r>
        <w:rPr>
          <w:lang w:val="en-US"/>
        </w:rPr>
        <w:t xml:space="preserve">Retirement age limits shall be readjusted, depending on changes in life expectancy in our country, with the age of 65 being as the reference point. </w:t>
      </w:r>
    </w:p>
    <w:p w:rsidR="006B2D3E" w:rsidRDefault="006B2D3E" w:rsidP="006B2D3E">
      <w:pPr>
        <w:ind w:right="26"/>
        <w:jc w:val="both"/>
        <w:rPr>
          <w:lang w:val="en-US"/>
        </w:rPr>
      </w:pPr>
    </w:p>
    <w:p w:rsidR="006B2D3E" w:rsidRDefault="006B2D3E" w:rsidP="006B2D3E">
      <w:pPr>
        <w:ind w:right="26"/>
        <w:jc w:val="both"/>
        <w:rPr>
          <w:lang w:val="en-US"/>
        </w:rPr>
      </w:pPr>
      <w:r>
        <w:rPr>
          <w:lang w:val="en-US"/>
        </w:rPr>
        <w:t>-</w:t>
      </w:r>
      <w:r>
        <w:rPr>
          <w:lang w:val="en-GB"/>
        </w:rPr>
        <w:t xml:space="preserve">    </w:t>
      </w:r>
      <w:r>
        <w:rPr>
          <w:lang w:val="en-US"/>
        </w:rPr>
        <w:t xml:space="preserve">Further </w:t>
      </w:r>
      <w:r>
        <w:rPr>
          <w:b/>
          <w:i/>
          <w:lang w:val="en-US"/>
        </w:rPr>
        <w:t xml:space="preserve">consolidation of 13 insurance organizations </w:t>
      </w:r>
      <w:r>
        <w:rPr>
          <w:lang w:val="en-US"/>
        </w:rPr>
        <w:t xml:space="preserve">into three is currently under way (for salaried employees, farmers, self-employed). </w:t>
      </w:r>
    </w:p>
    <w:p w:rsidR="006B2D3E" w:rsidRDefault="006B2D3E" w:rsidP="006B2D3E">
      <w:pPr>
        <w:ind w:right="26"/>
        <w:jc w:val="both"/>
        <w:rPr>
          <w:lang w:val="en-US"/>
        </w:rPr>
      </w:pPr>
    </w:p>
    <w:p w:rsidR="006B2D3E" w:rsidRDefault="006B2D3E" w:rsidP="006B2D3E">
      <w:pPr>
        <w:ind w:right="26"/>
        <w:jc w:val="both"/>
        <w:rPr>
          <w:lang w:val="en-US"/>
        </w:rPr>
      </w:pPr>
      <w:r>
        <w:rPr>
          <w:lang w:val="en-GB"/>
        </w:rPr>
        <w:t xml:space="preserve">-   </w:t>
      </w:r>
      <w:r>
        <w:rPr>
          <w:lang w:val="en-US"/>
        </w:rPr>
        <w:t xml:space="preserve">A new insurance form is established and the </w:t>
      </w:r>
      <w:r>
        <w:rPr>
          <w:b/>
          <w:i/>
          <w:lang w:val="en-US"/>
        </w:rPr>
        <w:t xml:space="preserve">employment stamp </w:t>
      </w:r>
      <w:r>
        <w:rPr>
          <w:lang w:val="en-US"/>
        </w:rPr>
        <w:t xml:space="preserve">is introduced for domestic personnel, agricultural and seasonal workers. </w:t>
      </w:r>
    </w:p>
    <w:p w:rsidR="006B2D3E" w:rsidRDefault="006B2D3E" w:rsidP="006B2D3E">
      <w:pPr>
        <w:ind w:right="26"/>
        <w:jc w:val="both"/>
        <w:rPr>
          <w:lang w:val="en-US"/>
        </w:rPr>
      </w:pPr>
    </w:p>
    <w:p w:rsidR="006B2D3E" w:rsidRDefault="006B2D3E" w:rsidP="006B2D3E">
      <w:pPr>
        <w:ind w:right="26"/>
        <w:jc w:val="both"/>
        <w:rPr>
          <w:lang w:val="en-US"/>
        </w:rPr>
      </w:pPr>
      <w:r>
        <w:rPr>
          <w:lang w:val="en-US"/>
        </w:rPr>
        <w:lastRenderedPageBreak/>
        <w:t>-</w:t>
      </w:r>
      <w:r>
        <w:rPr>
          <w:lang w:val="en-GB"/>
        </w:rPr>
        <w:t xml:space="preserve">     </w:t>
      </w:r>
      <w:r>
        <w:rPr>
          <w:lang w:val="en-US"/>
        </w:rPr>
        <w:t>A unified certification center for disabilities</w:t>
      </w:r>
      <w:r>
        <w:rPr>
          <w:b/>
          <w:i/>
          <w:lang w:val="en-US"/>
        </w:rPr>
        <w:t xml:space="preserve"> </w:t>
      </w:r>
      <w:r>
        <w:rPr>
          <w:lang w:val="en-US"/>
        </w:rPr>
        <w:t xml:space="preserve">is established and the </w:t>
      </w:r>
      <w:r>
        <w:rPr>
          <w:b/>
          <w:i/>
          <w:lang w:val="en-US"/>
        </w:rPr>
        <w:t xml:space="preserve">National Registry of People with Disabilities </w:t>
      </w:r>
      <w:r>
        <w:rPr>
          <w:lang w:val="en-US"/>
        </w:rPr>
        <w:t xml:space="preserve">is created. </w:t>
      </w:r>
    </w:p>
    <w:p w:rsidR="006B2D3E" w:rsidRDefault="006B2D3E" w:rsidP="006B2D3E">
      <w:pPr>
        <w:ind w:right="26"/>
        <w:jc w:val="both"/>
        <w:rPr>
          <w:lang w:val="en-US"/>
        </w:rPr>
      </w:pPr>
    </w:p>
    <w:p w:rsidR="006B2D3E" w:rsidRDefault="006B2D3E" w:rsidP="006B2D3E">
      <w:pPr>
        <w:ind w:right="26"/>
        <w:jc w:val="both"/>
        <w:rPr>
          <w:lang w:val="en-US"/>
        </w:rPr>
      </w:pPr>
      <w:r>
        <w:rPr>
          <w:lang w:val="en-US"/>
        </w:rPr>
        <w:t>-</w:t>
      </w:r>
      <w:r>
        <w:rPr>
          <w:lang w:val="en-GB"/>
        </w:rPr>
        <w:t xml:space="preserve">  </w:t>
      </w:r>
      <w:r>
        <w:rPr>
          <w:lang w:val="en-US"/>
        </w:rPr>
        <w:t xml:space="preserve">Occupations and specialties that shall fall under the Regulation for Arduous and Unhealthy Occupations are specified for all </w:t>
      </w:r>
      <w:r>
        <w:rPr>
          <w:i/>
          <w:lang w:val="en-US"/>
        </w:rPr>
        <w:t xml:space="preserve">social security organizations, </w:t>
      </w:r>
      <w:r>
        <w:rPr>
          <w:lang w:val="en-US"/>
        </w:rPr>
        <w:t xml:space="preserve">to be applied as of </w:t>
      </w:r>
      <w:smartTag w:uri="urn:schemas-microsoft-com:office:smarttags" w:element="date">
        <w:smartTagPr>
          <w:attr w:name="Year" w:val="2011"/>
          <w:attr w:name="Day" w:val="1"/>
          <w:attr w:name="Month" w:val="7"/>
        </w:smartTagPr>
        <w:r>
          <w:rPr>
            <w:lang w:val="en-US"/>
          </w:rPr>
          <w:t>01/07/2011</w:t>
        </w:r>
      </w:smartTag>
      <w:r>
        <w:rPr>
          <w:lang w:val="en-US"/>
        </w:rPr>
        <w:t xml:space="preserve">. </w:t>
      </w:r>
    </w:p>
    <w:p w:rsidR="006B2D3E" w:rsidRDefault="006B2D3E" w:rsidP="006B2D3E">
      <w:pPr>
        <w:ind w:right="26"/>
        <w:jc w:val="both"/>
        <w:rPr>
          <w:lang w:val="en-US"/>
        </w:rPr>
      </w:pPr>
    </w:p>
    <w:p w:rsidR="006B2D3E" w:rsidRDefault="006B2D3E" w:rsidP="006B2D3E">
      <w:pPr>
        <w:ind w:right="26"/>
        <w:jc w:val="both"/>
        <w:rPr>
          <w:lang w:val="en-US"/>
        </w:rPr>
      </w:pPr>
      <w:r>
        <w:rPr>
          <w:lang w:val="en-US"/>
        </w:rPr>
        <w:t>-</w:t>
      </w:r>
      <w:r>
        <w:rPr>
          <w:lang w:val="en-GB"/>
        </w:rPr>
        <w:t xml:space="preserve">   </w:t>
      </w:r>
      <w:r>
        <w:rPr>
          <w:lang w:val="en-US"/>
        </w:rPr>
        <w:t>The participation of insurance organizations in programs of voluntary termination of service</w:t>
      </w:r>
      <w:r>
        <w:rPr>
          <w:b/>
          <w:i/>
          <w:lang w:val="en-US"/>
        </w:rPr>
        <w:t xml:space="preserve"> </w:t>
      </w:r>
      <w:r>
        <w:rPr>
          <w:lang w:val="en-US"/>
        </w:rPr>
        <w:t xml:space="preserve">is abolished for the enterprises of the public and the broader public sector. </w:t>
      </w:r>
    </w:p>
    <w:p w:rsidR="006B2D3E" w:rsidRDefault="006B2D3E" w:rsidP="006B2D3E">
      <w:pPr>
        <w:ind w:right="26"/>
        <w:jc w:val="both"/>
        <w:rPr>
          <w:lang w:val="en-US"/>
        </w:rPr>
      </w:pPr>
    </w:p>
    <w:p w:rsidR="006B2D3E" w:rsidRDefault="00555E51" w:rsidP="006B2D3E">
      <w:pPr>
        <w:ind w:right="26"/>
        <w:jc w:val="both"/>
        <w:rPr>
          <w:lang w:val="en-US"/>
        </w:rPr>
      </w:pPr>
      <w:r>
        <w:rPr>
          <w:lang w:val="en-US"/>
        </w:rPr>
        <w:t>112.</w:t>
      </w:r>
      <w:r>
        <w:rPr>
          <w:lang w:val="en-US"/>
        </w:rPr>
        <w:tab/>
      </w:r>
      <w:r w:rsidR="006B2D3E">
        <w:rPr>
          <w:lang w:val="en-US"/>
        </w:rPr>
        <w:t xml:space="preserve">Aiming at combating poverty and ensuring a sufficient income for everybody especially for the elderly people and low income pensioners, the Greek social security system </w:t>
      </w:r>
      <w:r w:rsidR="006B2D3E">
        <w:rPr>
          <w:lang w:val="en-GB"/>
        </w:rPr>
        <w:t xml:space="preserve">has enacted since the year </w:t>
      </w:r>
      <w:r w:rsidR="006B2D3E">
        <w:rPr>
          <w:lang w:val="en-US"/>
        </w:rPr>
        <w:t xml:space="preserve">1996 </w:t>
      </w:r>
      <w:r w:rsidR="006B2D3E">
        <w:rPr>
          <w:b/>
          <w:lang w:val="en-US"/>
        </w:rPr>
        <w:t>the Pensioners’ Social Solidarity Allowance (EKAS)</w:t>
      </w:r>
      <w:r w:rsidR="006B2D3E">
        <w:rPr>
          <w:lang w:val="en-US"/>
        </w:rPr>
        <w:t xml:space="preserve"> which is granted to beneficiaries who have completed the 60</w:t>
      </w:r>
      <w:r w:rsidR="006B2D3E">
        <w:rPr>
          <w:vertAlign w:val="superscript"/>
          <w:lang w:val="en-US"/>
        </w:rPr>
        <w:t>th</w:t>
      </w:r>
      <w:r w:rsidR="006B2D3E">
        <w:rPr>
          <w:lang w:val="en-US"/>
        </w:rPr>
        <w:t xml:space="preserve"> year of age and meet certain income criteria. The EKAS is wholly financed by the State Budget and for the year 2010 has been formed as follows:</w:t>
      </w:r>
    </w:p>
    <w:p w:rsidR="006B2D3E" w:rsidRDefault="006B2D3E" w:rsidP="006B2D3E">
      <w:pPr>
        <w:ind w:right="26"/>
        <w:jc w:val="both"/>
        <w:rPr>
          <w:lang w:val="en-GB"/>
        </w:rPr>
      </w:pPr>
      <w:r>
        <w:rPr>
          <w:lang w:val="en-GB"/>
        </w:rPr>
        <w:t xml:space="preserve">  </w:t>
      </w:r>
    </w:p>
    <w:tbl>
      <w:tblPr>
        <w:tblpPr w:leftFromText="180" w:rightFromText="180" w:vertAnchor="text" w:horzAnchor="margin" w:tblpX="108" w:tblpY="182"/>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4253"/>
        <w:gridCol w:w="4269"/>
      </w:tblGrid>
      <w:tr w:rsidR="006B2D3E" w:rsidTr="00632942">
        <w:trPr>
          <w:trHeight w:val="275"/>
        </w:trPr>
        <w:tc>
          <w:tcPr>
            <w:tcW w:w="4635" w:type="dxa"/>
            <w:tcBorders>
              <w:top w:val="double" w:sz="4" w:space="0" w:color="auto"/>
              <w:left w:val="double" w:sz="4" w:space="0" w:color="auto"/>
              <w:bottom w:val="double" w:sz="4" w:space="0" w:color="auto"/>
            </w:tcBorders>
          </w:tcPr>
          <w:p w:rsidR="006B2D3E" w:rsidRDefault="006B2D3E" w:rsidP="00632942">
            <w:pPr>
              <w:tabs>
                <w:tab w:val="num" w:pos="-360"/>
              </w:tabs>
              <w:ind w:right="26"/>
              <w:jc w:val="both"/>
              <w:rPr>
                <w:b/>
                <w:bCs/>
                <w:szCs w:val="28"/>
                <w:lang w:val="en-GB"/>
              </w:rPr>
            </w:pPr>
            <w:r>
              <w:rPr>
                <w:b/>
                <w:bCs/>
                <w:szCs w:val="28"/>
                <w:lang w:val="en-GB"/>
              </w:rPr>
              <w:t xml:space="preserve">Amount of income </w:t>
            </w:r>
          </w:p>
        </w:tc>
        <w:tc>
          <w:tcPr>
            <w:tcW w:w="4653" w:type="dxa"/>
            <w:tcBorders>
              <w:top w:val="double" w:sz="4" w:space="0" w:color="auto"/>
              <w:bottom w:val="double" w:sz="4" w:space="0" w:color="auto"/>
              <w:right w:val="double" w:sz="4" w:space="0" w:color="auto"/>
            </w:tcBorders>
          </w:tcPr>
          <w:p w:rsidR="006B2D3E" w:rsidRDefault="006B2D3E" w:rsidP="00632942">
            <w:pPr>
              <w:tabs>
                <w:tab w:val="num" w:pos="-360"/>
              </w:tabs>
              <w:ind w:right="26"/>
              <w:jc w:val="both"/>
              <w:rPr>
                <w:b/>
                <w:bCs/>
                <w:szCs w:val="28"/>
                <w:lang w:val="en-GB"/>
              </w:rPr>
            </w:pPr>
            <w:r>
              <w:rPr>
                <w:b/>
                <w:bCs/>
                <w:szCs w:val="28"/>
                <w:lang w:val="en-GB"/>
              </w:rPr>
              <w:t>Amount of EKAS</w:t>
            </w:r>
          </w:p>
        </w:tc>
      </w:tr>
      <w:tr w:rsidR="006B2D3E" w:rsidTr="00632942">
        <w:trPr>
          <w:trHeight w:val="275"/>
        </w:trPr>
        <w:tc>
          <w:tcPr>
            <w:tcW w:w="4635" w:type="dxa"/>
            <w:tcBorders>
              <w:top w:val="double" w:sz="4" w:space="0" w:color="auto"/>
            </w:tcBorders>
          </w:tcPr>
          <w:p w:rsidR="006B2D3E" w:rsidRDefault="006B2D3E" w:rsidP="00632942">
            <w:pPr>
              <w:tabs>
                <w:tab w:val="num" w:pos="-360"/>
              </w:tabs>
              <w:ind w:right="26"/>
              <w:jc w:val="both"/>
              <w:rPr>
                <w:bCs/>
                <w:szCs w:val="28"/>
                <w:lang w:val="en-GB"/>
              </w:rPr>
            </w:pPr>
            <w:r>
              <w:rPr>
                <w:bCs/>
                <w:szCs w:val="28"/>
                <w:lang w:val="en-GB"/>
              </w:rPr>
              <w:t>until 7.607,54 €</w:t>
            </w:r>
          </w:p>
        </w:tc>
        <w:tc>
          <w:tcPr>
            <w:tcW w:w="4653" w:type="dxa"/>
            <w:tcBorders>
              <w:top w:val="double" w:sz="4" w:space="0" w:color="auto"/>
            </w:tcBorders>
          </w:tcPr>
          <w:p w:rsidR="006B2D3E" w:rsidRDefault="006B2D3E" w:rsidP="00632942">
            <w:pPr>
              <w:tabs>
                <w:tab w:val="num" w:pos="-360"/>
              </w:tabs>
              <w:ind w:right="26"/>
              <w:jc w:val="both"/>
              <w:rPr>
                <w:bCs/>
                <w:szCs w:val="28"/>
                <w:lang w:val="en-GB"/>
              </w:rPr>
            </w:pPr>
            <w:r>
              <w:rPr>
                <w:bCs/>
                <w:szCs w:val="28"/>
                <w:lang w:val="en-GB"/>
              </w:rPr>
              <w:t>230,00 €</w:t>
            </w:r>
          </w:p>
        </w:tc>
      </w:tr>
      <w:tr w:rsidR="006B2D3E" w:rsidTr="00632942">
        <w:trPr>
          <w:trHeight w:val="275"/>
        </w:trPr>
        <w:tc>
          <w:tcPr>
            <w:tcW w:w="4635" w:type="dxa"/>
          </w:tcPr>
          <w:p w:rsidR="006B2D3E" w:rsidRDefault="006B2D3E" w:rsidP="00632942">
            <w:pPr>
              <w:tabs>
                <w:tab w:val="num" w:pos="-360"/>
              </w:tabs>
              <w:ind w:right="26"/>
              <w:jc w:val="both"/>
              <w:rPr>
                <w:bCs/>
                <w:szCs w:val="28"/>
                <w:lang w:val="en-GB"/>
              </w:rPr>
            </w:pPr>
            <w:r>
              <w:rPr>
                <w:bCs/>
                <w:szCs w:val="28"/>
                <w:lang w:val="en-GB"/>
              </w:rPr>
              <w:t>from 7.607,55 to 7.905,91 €</w:t>
            </w:r>
          </w:p>
        </w:tc>
        <w:tc>
          <w:tcPr>
            <w:tcW w:w="4653" w:type="dxa"/>
          </w:tcPr>
          <w:p w:rsidR="006B2D3E" w:rsidRDefault="006B2D3E" w:rsidP="00632942">
            <w:pPr>
              <w:tabs>
                <w:tab w:val="num" w:pos="-360"/>
              </w:tabs>
              <w:ind w:right="26"/>
              <w:jc w:val="both"/>
              <w:rPr>
                <w:bCs/>
                <w:szCs w:val="28"/>
                <w:lang w:val="en-GB"/>
              </w:rPr>
            </w:pPr>
            <w:r>
              <w:rPr>
                <w:bCs/>
                <w:szCs w:val="28"/>
                <w:lang w:val="en-GB"/>
              </w:rPr>
              <w:t>172,50 €</w:t>
            </w:r>
          </w:p>
        </w:tc>
      </w:tr>
      <w:tr w:rsidR="006B2D3E" w:rsidTr="00632942">
        <w:trPr>
          <w:trHeight w:val="275"/>
        </w:trPr>
        <w:tc>
          <w:tcPr>
            <w:tcW w:w="4635" w:type="dxa"/>
          </w:tcPr>
          <w:p w:rsidR="006B2D3E" w:rsidRDefault="006B2D3E" w:rsidP="00632942">
            <w:pPr>
              <w:tabs>
                <w:tab w:val="num" w:pos="-360"/>
              </w:tabs>
              <w:ind w:right="26"/>
              <w:jc w:val="both"/>
              <w:rPr>
                <w:bCs/>
                <w:szCs w:val="28"/>
                <w:lang w:val="en-GB"/>
              </w:rPr>
            </w:pPr>
            <w:r>
              <w:rPr>
                <w:bCs/>
                <w:szCs w:val="28"/>
                <w:lang w:val="en-GB"/>
              </w:rPr>
              <w:t>from 7.905,92 to 8.104,76 €</w:t>
            </w:r>
          </w:p>
        </w:tc>
        <w:tc>
          <w:tcPr>
            <w:tcW w:w="4653" w:type="dxa"/>
          </w:tcPr>
          <w:p w:rsidR="006B2D3E" w:rsidRDefault="006B2D3E" w:rsidP="00632942">
            <w:pPr>
              <w:tabs>
                <w:tab w:val="num" w:pos="-360"/>
              </w:tabs>
              <w:ind w:right="26"/>
              <w:jc w:val="both"/>
              <w:rPr>
                <w:bCs/>
                <w:szCs w:val="28"/>
                <w:lang w:val="en-GB"/>
              </w:rPr>
            </w:pPr>
            <w:r>
              <w:rPr>
                <w:bCs/>
                <w:szCs w:val="28"/>
                <w:lang w:val="en-GB"/>
              </w:rPr>
              <w:t>115,00 €</w:t>
            </w:r>
          </w:p>
        </w:tc>
      </w:tr>
      <w:tr w:rsidR="006B2D3E" w:rsidTr="00632942">
        <w:trPr>
          <w:trHeight w:val="291"/>
        </w:trPr>
        <w:tc>
          <w:tcPr>
            <w:tcW w:w="4635" w:type="dxa"/>
            <w:tcBorders>
              <w:bottom w:val="single" w:sz="8" w:space="0" w:color="auto"/>
            </w:tcBorders>
          </w:tcPr>
          <w:p w:rsidR="006B2D3E" w:rsidRDefault="006B2D3E" w:rsidP="00632942">
            <w:pPr>
              <w:tabs>
                <w:tab w:val="num" w:pos="-360"/>
              </w:tabs>
              <w:ind w:right="26"/>
              <w:jc w:val="both"/>
              <w:rPr>
                <w:bCs/>
                <w:szCs w:val="28"/>
                <w:lang w:val="en-GB"/>
              </w:rPr>
            </w:pPr>
            <w:r>
              <w:rPr>
                <w:bCs/>
                <w:szCs w:val="28"/>
                <w:lang w:val="en-GB"/>
              </w:rPr>
              <w:t>from 8.104,77  to 8.353,38 €</w:t>
            </w:r>
          </w:p>
        </w:tc>
        <w:tc>
          <w:tcPr>
            <w:tcW w:w="4653" w:type="dxa"/>
            <w:tcBorders>
              <w:bottom w:val="single" w:sz="8" w:space="0" w:color="auto"/>
            </w:tcBorders>
          </w:tcPr>
          <w:p w:rsidR="006B2D3E" w:rsidRDefault="006B2D3E" w:rsidP="00632942">
            <w:pPr>
              <w:tabs>
                <w:tab w:val="num" w:pos="-360"/>
              </w:tabs>
              <w:ind w:right="26"/>
              <w:jc w:val="both"/>
              <w:rPr>
                <w:bCs/>
                <w:szCs w:val="28"/>
                <w:lang w:val="en-US"/>
              </w:rPr>
            </w:pPr>
            <w:r>
              <w:rPr>
                <w:bCs/>
                <w:szCs w:val="28"/>
                <w:lang w:val="en-GB"/>
              </w:rPr>
              <w:t xml:space="preserve">  </w:t>
            </w:r>
            <w:r>
              <w:rPr>
                <w:bCs/>
                <w:szCs w:val="28"/>
                <w:lang w:val="en-US"/>
              </w:rPr>
              <w:t>57,50 €</w:t>
            </w:r>
          </w:p>
        </w:tc>
      </w:tr>
    </w:tbl>
    <w:p w:rsidR="006B2D3E" w:rsidRDefault="006B2D3E" w:rsidP="006B2D3E">
      <w:pPr>
        <w:ind w:right="26"/>
        <w:jc w:val="both"/>
        <w:rPr>
          <w:lang w:val="en-GB"/>
        </w:rPr>
      </w:pPr>
    </w:p>
    <w:p w:rsidR="006B2D3E" w:rsidRDefault="006B2D3E" w:rsidP="006B2D3E">
      <w:pPr>
        <w:ind w:right="26"/>
        <w:jc w:val="both"/>
        <w:rPr>
          <w:b/>
          <w:lang w:val="en-GB"/>
        </w:rPr>
      </w:pPr>
      <w:r>
        <w:rPr>
          <w:b/>
          <w:lang w:val="en-US"/>
        </w:rPr>
        <w:t xml:space="preserve"> </w:t>
      </w:r>
      <w:r>
        <w:rPr>
          <w:b/>
        </w:rPr>
        <w:t>Ε</w:t>
      </w:r>
      <w:r>
        <w:rPr>
          <w:b/>
          <w:lang w:val="en-US"/>
        </w:rPr>
        <w:t xml:space="preserve">xpenses for social protection (in million of euro) </w:t>
      </w:r>
    </w:p>
    <w:tbl>
      <w:tblPr>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080"/>
        <w:gridCol w:w="1080"/>
        <w:gridCol w:w="1080"/>
        <w:gridCol w:w="1260"/>
        <w:gridCol w:w="1260"/>
        <w:gridCol w:w="1260"/>
        <w:gridCol w:w="1260"/>
      </w:tblGrid>
      <w:tr w:rsidR="006B2D3E" w:rsidTr="00632942">
        <w:trPr>
          <w:trHeight w:val="325"/>
        </w:trPr>
        <w:tc>
          <w:tcPr>
            <w:tcW w:w="1260" w:type="dxa"/>
          </w:tcPr>
          <w:p w:rsidR="006B2D3E" w:rsidRDefault="006B2D3E" w:rsidP="00632942">
            <w:pPr>
              <w:ind w:right="26"/>
              <w:jc w:val="both"/>
              <w:rPr>
                <w:sz w:val="20"/>
                <w:lang w:val="en-US"/>
              </w:rPr>
            </w:pPr>
          </w:p>
        </w:tc>
        <w:tc>
          <w:tcPr>
            <w:tcW w:w="1080" w:type="dxa"/>
          </w:tcPr>
          <w:p w:rsidR="006B2D3E" w:rsidRDefault="006B2D3E" w:rsidP="00632942">
            <w:pPr>
              <w:ind w:right="26"/>
              <w:jc w:val="both"/>
              <w:rPr>
                <w:sz w:val="20"/>
                <w:lang w:val="en-US"/>
              </w:rPr>
            </w:pPr>
            <w:r>
              <w:rPr>
                <w:sz w:val="20"/>
                <w:lang w:val="en-US"/>
              </w:rPr>
              <w:t>2004</w:t>
            </w:r>
          </w:p>
        </w:tc>
        <w:tc>
          <w:tcPr>
            <w:tcW w:w="1080" w:type="dxa"/>
          </w:tcPr>
          <w:p w:rsidR="006B2D3E" w:rsidRDefault="006B2D3E" w:rsidP="00632942">
            <w:pPr>
              <w:ind w:right="26"/>
              <w:jc w:val="both"/>
              <w:rPr>
                <w:sz w:val="20"/>
                <w:lang w:val="en-US"/>
              </w:rPr>
            </w:pPr>
            <w:r>
              <w:rPr>
                <w:sz w:val="20"/>
                <w:lang w:val="en-US"/>
              </w:rPr>
              <w:t>2005</w:t>
            </w:r>
          </w:p>
        </w:tc>
        <w:tc>
          <w:tcPr>
            <w:tcW w:w="1080" w:type="dxa"/>
          </w:tcPr>
          <w:p w:rsidR="006B2D3E" w:rsidRDefault="006B2D3E" w:rsidP="00632942">
            <w:pPr>
              <w:ind w:right="26"/>
              <w:jc w:val="both"/>
              <w:rPr>
                <w:sz w:val="20"/>
                <w:lang w:val="en-US"/>
              </w:rPr>
            </w:pPr>
            <w:r>
              <w:rPr>
                <w:sz w:val="20"/>
                <w:lang w:val="en-US"/>
              </w:rPr>
              <w:t>2006</w:t>
            </w:r>
          </w:p>
        </w:tc>
        <w:tc>
          <w:tcPr>
            <w:tcW w:w="1260" w:type="dxa"/>
          </w:tcPr>
          <w:p w:rsidR="006B2D3E" w:rsidRDefault="006B2D3E" w:rsidP="00632942">
            <w:pPr>
              <w:ind w:right="26"/>
              <w:jc w:val="both"/>
              <w:rPr>
                <w:sz w:val="20"/>
                <w:lang w:val="en-US"/>
              </w:rPr>
            </w:pPr>
            <w:r>
              <w:rPr>
                <w:sz w:val="20"/>
                <w:lang w:val="en-US"/>
              </w:rPr>
              <w:t>2007</w:t>
            </w:r>
          </w:p>
        </w:tc>
        <w:tc>
          <w:tcPr>
            <w:tcW w:w="1260" w:type="dxa"/>
          </w:tcPr>
          <w:p w:rsidR="006B2D3E" w:rsidRDefault="006B2D3E" w:rsidP="00632942">
            <w:pPr>
              <w:ind w:right="26"/>
              <w:jc w:val="both"/>
              <w:rPr>
                <w:sz w:val="20"/>
                <w:lang w:val="en-US"/>
              </w:rPr>
            </w:pPr>
            <w:r>
              <w:rPr>
                <w:sz w:val="20"/>
                <w:lang w:val="en-US"/>
              </w:rPr>
              <w:t>2008</w:t>
            </w:r>
          </w:p>
        </w:tc>
        <w:tc>
          <w:tcPr>
            <w:tcW w:w="1260" w:type="dxa"/>
          </w:tcPr>
          <w:p w:rsidR="006B2D3E" w:rsidRDefault="006B2D3E" w:rsidP="00632942">
            <w:pPr>
              <w:ind w:right="26"/>
              <w:jc w:val="both"/>
              <w:rPr>
                <w:sz w:val="20"/>
                <w:lang w:val="en-US"/>
              </w:rPr>
            </w:pPr>
            <w:r>
              <w:rPr>
                <w:sz w:val="20"/>
                <w:lang w:val="en-US"/>
              </w:rPr>
              <w:t>2009</w:t>
            </w:r>
          </w:p>
        </w:tc>
        <w:tc>
          <w:tcPr>
            <w:tcW w:w="1260" w:type="dxa"/>
          </w:tcPr>
          <w:p w:rsidR="006B2D3E" w:rsidRDefault="006B2D3E" w:rsidP="00632942">
            <w:pPr>
              <w:ind w:right="26"/>
              <w:jc w:val="both"/>
              <w:rPr>
                <w:sz w:val="20"/>
                <w:lang w:val="en-US"/>
              </w:rPr>
            </w:pPr>
            <w:r>
              <w:rPr>
                <w:sz w:val="20"/>
                <w:lang w:val="en-US"/>
              </w:rPr>
              <w:t>2010</w:t>
            </w:r>
          </w:p>
        </w:tc>
      </w:tr>
      <w:tr w:rsidR="006B2D3E" w:rsidTr="00632942">
        <w:trPr>
          <w:trHeight w:val="707"/>
        </w:trPr>
        <w:tc>
          <w:tcPr>
            <w:tcW w:w="1260" w:type="dxa"/>
          </w:tcPr>
          <w:p w:rsidR="006B2D3E" w:rsidRDefault="006B2D3E" w:rsidP="00632942">
            <w:pPr>
              <w:ind w:right="26"/>
              <w:jc w:val="both"/>
              <w:rPr>
                <w:sz w:val="20"/>
                <w:lang w:val="en-US"/>
              </w:rPr>
            </w:pPr>
            <w:r>
              <w:rPr>
                <w:sz w:val="20"/>
                <w:lang w:val="en-US"/>
              </w:rPr>
              <w:t>Expenses for social protection</w:t>
            </w:r>
          </w:p>
        </w:tc>
        <w:tc>
          <w:tcPr>
            <w:tcW w:w="1080" w:type="dxa"/>
          </w:tcPr>
          <w:p w:rsidR="006B2D3E" w:rsidRDefault="006B2D3E" w:rsidP="00632942">
            <w:pPr>
              <w:ind w:right="26"/>
              <w:jc w:val="both"/>
              <w:rPr>
                <w:sz w:val="20"/>
                <w:lang w:val="en-US"/>
              </w:rPr>
            </w:pPr>
            <w:r>
              <w:rPr>
                <w:sz w:val="20"/>
                <w:lang w:val="en-US"/>
              </w:rPr>
              <w:t>8.813,03</w:t>
            </w:r>
          </w:p>
        </w:tc>
        <w:tc>
          <w:tcPr>
            <w:tcW w:w="1080" w:type="dxa"/>
          </w:tcPr>
          <w:p w:rsidR="006B2D3E" w:rsidRDefault="006B2D3E" w:rsidP="00632942">
            <w:pPr>
              <w:ind w:right="26"/>
              <w:jc w:val="both"/>
              <w:rPr>
                <w:sz w:val="20"/>
                <w:lang w:val="en-US"/>
              </w:rPr>
            </w:pPr>
            <w:r>
              <w:rPr>
                <w:sz w:val="20"/>
                <w:lang w:val="en-US"/>
              </w:rPr>
              <w:t>8.930,66</w:t>
            </w:r>
          </w:p>
        </w:tc>
        <w:tc>
          <w:tcPr>
            <w:tcW w:w="1080" w:type="dxa"/>
          </w:tcPr>
          <w:p w:rsidR="006B2D3E" w:rsidRDefault="006B2D3E" w:rsidP="00632942">
            <w:pPr>
              <w:ind w:right="26"/>
              <w:jc w:val="both"/>
              <w:rPr>
                <w:sz w:val="20"/>
                <w:lang w:val="en-US"/>
              </w:rPr>
            </w:pPr>
            <w:r>
              <w:rPr>
                <w:sz w:val="20"/>
                <w:lang w:val="en-US"/>
              </w:rPr>
              <w:t>9.696,87</w:t>
            </w:r>
          </w:p>
        </w:tc>
        <w:tc>
          <w:tcPr>
            <w:tcW w:w="1260" w:type="dxa"/>
          </w:tcPr>
          <w:p w:rsidR="006B2D3E" w:rsidRDefault="006B2D3E" w:rsidP="00632942">
            <w:pPr>
              <w:ind w:right="26"/>
              <w:jc w:val="both"/>
              <w:rPr>
                <w:sz w:val="20"/>
                <w:lang w:val="en-US"/>
              </w:rPr>
            </w:pPr>
            <w:r>
              <w:rPr>
                <w:sz w:val="20"/>
                <w:lang w:val="en-US"/>
              </w:rPr>
              <w:t>10.464,80</w:t>
            </w:r>
          </w:p>
        </w:tc>
        <w:tc>
          <w:tcPr>
            <w:tcW w:w="1260" w:type="dxa"/>
          </w:tcPr>
          <w:p w:rsidR="006B2D3E" w:rsidRDefault="006B2D3E" w:rsidP="00632942">
            <w:pPr>
              <w:ind w:right="26"/>
              <w:jc w:val="both"/>
              <w:rPr>
                <w:sz w:val="20"/>
                <w:lang w:val="en-US"/>
              </w:rPr>
            </w:pPr>
            <w:r>
              <w:rPr>
                <w:sz w:val="20"/>
                <w:lang w:val="en-US"/>
              </w:rPr>
              <w:t>14.189,84</w:t>
            </w:r>
          </w:p>
        </w:tc>
        <w:tc>
          <w:tcPr>
            <w:tcW w:w="1260" w:type="dxa"/>
          </w:tcPr>
          <w:p w:rsidR="006B2D3E" w:rsidRDefault="006B2D3E" w:rsidP="00632942">
            <w:pPr>
              <w:ind w:right="26"/>
              <w:jc w:val="both"/>
              <w:rPr>
                <w:sz w:val="20"/>
                <w:lang w:val="en-US"/>
              </w:rPr>
            </w:pPr>
            <w:r>
              <w:rPr>
                <w:sz w:val="20"/>
                <w:lang w:val="en-US"/>
              </w:rPr>
              <w:t>16.415,31</w:t>
            </w:r>
          </w:p>
        </w:tc>
        <w:tc>
          <w:tcPr>
            <w:tcW w:w="1260" w:type="dxa"/>
          </w:tcPr>
          <w:p w:rsidR="006B2D3E" w:rsidRDefault="006B2D3E" w:rsidP="00632942">
            <w:pPr>
              <w:ind w:right="26"/>
              <w:jc w:val="both"/>
              <w:rPr>
                <w:sz w:val="20"/>
                <w:lang w:val="en-US"/>
              </w:rPr>
            </w:pPr>
            <w:r>
              <w:rPr>
                <w:sz w:val="20"/>
                <w:lang w:val="en-US"/>
              </w:rPr>
              <w:t>13.563,78</w:t>
            </w:r>
          </w:p>
        </w:tc>
      </w:tr>
      <w:tr w:rsidR="006B2D3E" w:rsidTr="00632942">
        <w:trPr>
          <w:trHeight w:val="698"/>
        </w:trPr>
        <w:tc>
          <w:tcPr>
            <w:tcW w:w="1260" w:type="dxa"/>
          </w:tcPr>
          <w:p w:rsidR="006B2D3E" w:rsidRDefault="006B2D3E" w:rsidP="00632942">
            <w:pPr>
              <w:ind w:right="26"/>
              <w:jc w:val="both"/>
              <w:rPr>
                <w:sz w:val="20"/>
                <w:lang w:val="en-US"/>
              </w:rPr>
            </w:pPr>
            <w:r>
              <w:rPr>
                <w:sz w:val="20"/>
                <w:lang w:val="en-US"/>
              </w:rPr>
              <w:t>GNP (in millions of  euro</w:t>
            </w:r>
          </w:p>
        </w:tc>
        <w:tc>
          <w:tcPr>
            <w:tcW w:w="1080" w:type="dxa"/>
          </w:tcPr>
          <w:p w:rsidR="006B2D3E" w:rsidRDefault="006B2D3E" w:rsidP="00632942">
            <w:pPr>
              <w:ind w:right="26"/>
              <w:jc w:val="both"/>
              <w:rPr>
                <w:sz w:val="20"/>
                <w:lang w:val="en-US"/>
              </w:rPr>
            </w:pPr>
            <w:r>
              <w:rPr>
                <w:sz w:val="20"/>
                <w:lang w:val="en-US"/>
              </w:rPr>
              <w:t>185.225</w:t>
            </w:r>
          </w:p>
        </w:tc>
        <w:tc>
          <w:tcPr>
            <w:tcW w:w="1080" w:type="dxa"/>
          </w:tcPr>
          <w:p w:rsidR="006B2D3E" w:rsidRDefault="006B2D3E" w:rsidP="00632942">
            <w:pPr>
              <w:ind w:right="26"/>
              <w:jc w:val="both"/>
              <w:rPr>
                <w:sz w:val="20"/>
                <w:lang w:val="en-US"/>
              </w:rPr>
            </w:pPr>
            <w:r>
              <w:rPr>
                <w:sz w:val="20"/>
                <w:lang w:val="en-US"/>
              </w:rPr>
              <w:t>198.609</w:t>
            </w:r>
          </w:p>
        </w:tc>
        <w:tc>
          <w:tcPr>
            <w:tcW w:w="1080" w:type="dxa"/>
          </w:tcPr>
          <w:p w:rsidR="006B2D3E" w:rsidRDefault="006B2D3E" w:rsidP="00632942">
            <w:pPr>
              <w:ind w:right="26"/>
              <w:jc w:val="both"/>
              <w:rPr>
                <w:sz w:val="20"/>
                <w:lang w:val="en-US"/>
              </w:rPr>
            </w:pPr>
            <w:r>
              <w:rPr>
                <w:sz w:val="20"/>
                <w:lang w:val="en-US"/>
              </w:rPr>
              <w:t>213.207</w:t>
            </w:r>
          </w:p>
        </w:tc>
        <w:tc>
          <w:tcPr>
            <w:tcW w:w="1260" w:type="dxa"/>
          </w:tcPr>
          <w:p w:rsidR="006B2D3E" w:rsidRDefault="006B2D3E" w:rsidP="00632942">
            <w:pPr>
              <w:ind w:right="26"/>
              <w:jc w:val="both"/>
              <w:rPr>
                <w:sz w:val="20"/>
                <w:lang w:val="en-US"/>
              </w:rPr>
            </w:pPr>
            <w:r>
              <w:rPr>
                <w:sz w:val="20"/>
                <w:lang w:val="en-US"/>
              </w:rPr>
              <w:t>228.180</w:t>
            </w:r>
          </w:p>
        </w:tc>
        <w:tc>
          <w:tcPr>
            <w:tcW w:w="1260" w:type="dxa"/>
          </w:tcPr>
          <w:p w:rsidR="006B2D3E" w:rsidRDefault="006B2D3E" w:rsidP="00632942">
            <w:pPr>
              <w:ind w:right="26"/>
              <w:jc w:val="both"/>
              <w:rPr>
                <w:sz w:val="20"/>
                <w:lang w:val="en-US"/>
              </w:rPr>
            </w:pPr>
            <w:r>
              <w:rPr>
                <w:sz w:val="20"/>
                <w:lang w:val="en-US"/>
              </w:rPr>
              <w:t>236.917</w:t>
            </w:r>
          </w:p>
        </w:tc>
        <w:tc>
          <w:tcPr>
            <w:tcW w:w="1260" w:type="dxa"/>
          </w:tcPr>
          <w:p w:rsidR="006B2D3E" w:rsidRDefault="006B2D3E" w:rsidP="00632942">
            <w:pPr>
              <w:ind w:right="26"/>
              <w:jc w:val="both"/>
              <w:rPr>
                <w:sz w:val="20"/>
                <w:lang w:val="en-US"/>
              </w:rPr>
            </w:pPr>
            <w:r>
              <w:rPr>
                <w:sz w:val="20"/>
                <w:lang w:val="en-US"/>
              </w:rPr>
              <w:t>235.000</w:t>
            </w:r>
          </w:p>
        </w:tc>
        <w:tc>
          <w:tcPr>
            <w:tcW w:w="1260" w:type="dxa"/>
          </w:tcPr>
          <w:p w:rsidR="006B2D3E" w:rsidRDefault="006B2D3E" w:rsidP="00632942">
            <w:pPr>
              <w:ind w:right="26"/>
              <w:jc w:val="both"/>
              <w:rPr>
                <w:sz w:val="20"/>
                <w:lang w:val="en-US"/>
              </w:rPr>
            </w:pPr>
            <w:r>
              <w:rPr>
                <w:sz w:val="20"/>
                <w:lang w:val="en-US"/>
              </w:rPr>
              <w:t>231.900</w:t>
            </w:r>
          </w:p>
        </w:tc>
      </w:tr>
      <w:tr w:rsidR="006B2D3E" w:rsidTr="00632942">
        <w:trPr>
          <w:trHeight w:val="887"/>
        </w:trPr>
        <w:tc>
          <w:tcPr>
            <w:tcW w:w="1260" w:type="dxa"/>
          </w:tcPr>
          <w:p w:rsidR="006B2D3E" w:rsidRDefault="006B2D3E" w:rsidP="00632942">
            <w:pPr>
              <w:ind w:right="26"/>
              <w:jc w:val="both"/>
              <w:rPr>
                <w:sz w:val="20"/>
                <w:lang w:val="en-US"/>
              </w:rPr>
            </w:pPr>
            <w:r>
              <w:rPr>
                <w:sz w:val="20"/>
                <w:lang w:val="en-US"/>
              </w:rPr>
              <w:t>Expenses for social protection / GNP (%)</w:t>
            </w:r>
          </w:p>
        </w:tc>
        <w:tc>
          <w:tcPr>
            <w:tcW w:w="1080" w:type="dxa"/>
          </w:tcPr>
          <w:p w:rsidR="006B2D3E" w:rsidRDefault="006B2D3E" w:rsidP="00632942">
            <w:pPr>
              <w:ind w:right="26"/>
              <w:jc w:val="both"/>
              <w:rPr>
                <w:sz w:val="20"/>
                <w:lang w:val="en-US"/>
              </w:rPr>
            </w:pPr>
            <w:r>
              <w:rPr>
                <w:sz w:val="20"/>
                <w:lang w:val="en-US"/>
              </w:rPr>
              <w:t>4,76</w:t>
            </w:r>
          </w:p>
        </w:tc>
        <w:tc>
          <w:tcPr>
            <w:tcW w:w="1080" w:type="dxa"/>
          </w:tcPr>
          <w:p w:rsidR="006B2D3E" w:rsidRDefault="006B2D3E" w:rsidP="00632942">
            <w:pPr>
              <w:ind w:right="26"/>
              <w:jc w:val="both"/>
              <w:rPr>
                <w:sz w:val="20"/>
                <w:lang w:val="en-US"/>
              </w:rPr>
            </w:pPr>
            <w:r>
              <w:rPr>
                <w:sz w:val="20"/>
                <w:lang w:val="en-US"/>
              </w:rPr>
              <w:t>4,50</w:t>
            </w:r>
          </w:p>
        </w:tc>
        <w:tc>
          <w:tcPr>
            <w:tcW w:w="1080" w:type="dxa"/>
          </w:tcPr>
          <w:p w:rsidR="006B2D3E" w:rsidRDefault="006B2D3E" w:rsidP="00632942">
            <w:pPr>
              <w:ind w:right="26"/>
              <w:jc w:val="both"/>
              <w:rPr>
                <w:sz w:val="20"/>
                <w:lang w:val="en-US"/>
              </w:rPr>
            </w:pPr>
            <w:r>
              <w:rPr>
                <w:sz w:val="20"/>
                <w:lang w:val="en-US"/>
              </w:rPr>
              <w:t>4,55</w:t>
            </w:r>
          </w:p>
        </w:tc>
        <w:tc>
          <w:tcPr>
            <w:tcW w:w="1260" w:type="dxa"/>
          </w:tcPr>
          <w:p w:rsidR="006B2D3E" w:rsidRDefault="006B2D3E" w:rsidP="00632942">
            <w:pPr>
              <w:ind w:right="26"/>
              <w:jc w:val="both"/>
              <w:rPr>
                <w:sz w:val="20"/>
                <w:lang w:val="en-US"/>
              </w:rPr>
            </w:pPr>
            <w:r>
              <w:rPr>
                <w:sz w:val="20"/>
                <w:lang w:val="en-US"/>
              </w:rPr>
              <w:t>4,59</w:t>
            </w:r>
          </w:p>
        </w:tc>
        <w:tc>
          <w:tcPr>
            <w:tcW w:w="1260" w:type="dxa"/>
          </w:tcPr>
          <w:p w:rsidR="006B2D3E" w:rsidRDefault="006B2D3E" w:rsidP="00632942">
            <w:pPr>
              <w:ind w:right="26"/>
              <w:jc w:val="both"/>
              <w:rPr>
                <w:sz w:val="20"/>
                <w:lang w:val="en-US"/>
              </w:rPr>
            </w:pPr>
            <w:r>
              <w:rPr>
                <w:sz w:val="20"/>
                <w:lang w:val="en-US"/>
              </w:rPr>
              <w:t>5,99</w:t>
            </w:r>
          </w:p>
        </w:tc>
        <w:tc>
          <w:tcPr>
            <w:tcW w:w="1260" w:type="dxa"/>
          </w:tcPr>
          <w:p w:rsidR="006B2D3E" w:rsidRDefault="006B2D3E" w:rsidP="00632942">
            <w:pPr>
              <w:ind w:right="26"/>
              <w:jc w:val="both"/>
              <w:rPr>
                <w:sz w:val="20"/>
                <w:lang w:val="en-US"/>
              </w:rPr>
            </w:pPr>
            <w:r>
              <w:rPr>
                <w:sz w:val="20"/>
                <w:lang w:val="en-US"/>
              </w:rPr>
              <w:t>6,98</w:t>
            </w:r>
          </w:p>
        </w:tc>
        <w:tc>
          <w:tcPr>
            <w:tcW w:w="1260" w:type="dxa"/>
          </w:tcPr>
          <w:p w:rsidR="006B2D3E" w:rsidRDefault="006B2D3E" w:rsidP="00632942">
            <w:pPr>
              <w:ind w:right="26"/>
              <w:jc w:val="both"/>
              <w:rPr>
                <w:sz w:val="20"/>
                <w:lang w:val="en-US"/>
              </w:rPr>
            </w:pPr>
            <w:r>
              <w:rPr>
                <w:sz w:val="20"/>
                <w:lang w:val="en-US"/>
              </w:rPr>
              <w:t>5,85</w:t>
            </w:r>
          </w:p>
        </w:tc>
      </w:tr>
    </w:tbl>
    <w:p w:rsidR="00B37AE6" w:rsidRDefault="00B37AE6">
      <w:pPr>
        <w:ind w:right="26"/>
        <w:jc w:val="center"/>
        <w:rPr>
          <w:b/>
          <w:lang w:val="en-US"/>
        </w:rPr>
      </w:pPr>
    </w:p>
    <w:p w:rsidR="00822681" w:rsidRDefault="00822681">
      <w:pPr>
        <w:ind w:right="26"/>
        <w:jc w:val="center"/>
        <w:rPr>
          <w:b/>
          <w:lang w:val="en-US"/>
        </w:rPr>
      </w:pPr>
      <w:r>
        <w:rPr>
          <w:b/>
          <w:lang w:val="en-US"/>
        </w:rPr>
        <w:t>ARTICLE  10</w:t>
      </w:r>
    </w:p>
    <w:p w:rsidR="00822681" w:rsidRDefault="00822681">
      <w:pPr>
        <w:ind w:right="26"/>
        <w:jc w:val="both"/>
        <w:rPr>
          <w:u w:val="single"/>
          <w:lang w:val="en-US"/>
        </w:rPr>
      </w:pPr>
    </w:p>
    <w:p w:rsidR="00555E51" w:rsidRDefault="00822681" w:rsidP="00555E51">
      <w:pPr>
        <w:ind w:right="26"/>
        <w:jc w:val="both"/>
        <w:rPr>
          <w:b/>
          <w:lang w:val="en-US"/>
        </w:rPr>
      </w:pPr>
      <w:r>
        <w:rPr>
          <w:b/>
          <w:lang w:val="en-US"/>
        </w:rPr>
        <w:t>Measures and services to support families</w:t>
      </w:r>
    </w:p>
    <w:p w:rsidR="00555E51" w:rsidRDefault="00555E51" w:rsidP="00555E51">
      <w:pPr>
        <w:ind w:right="26"/>
        <w:jc w:val="both"/>
        <w:rPr>
          <w:b/>
          <w:lang w:val="en-US"/>
        </w:rPr>
      </w:pPr>
    </w:p>
    <w:p w:rsidR="00822681" w:rsidRPr="00555E51" w:rsidRDefault="00555E51" w:rsidP="00555E51">
      <w:pPr>
        <w:ind w:right="26"/>
        <w:jc w:val="both"/>
        <w:rPr>
          <w:b/>
          <w:lang w:val="en-US"/>
        </w:rPr>
      </w:pPr>
      <w:r w:rsidRPr="00555E51">
        <w:rPr>
          <w:lang w:val="en-US"/>
        </w:rPr>
        <w:t>113.</w:t>
      </w:r>
      <w:r>
        <w:rPr>
          <w:b/>
          <w:lang w:val="en-US"/>
        </w:rPr>
        <w:tab/>
      </w:r>
      <w:r w:rsidR="00822681">
        <w:rPr>
          <w:lang w:val="en-US"/>
        </w:rPr>
        <w:t>1. Support of the family-Benefits to the families having many children</w:t>
      </w:r>
    </w:p>
    <w:p w:rsidR="00822681" w:rsidRDefault="00822681">
      <w:pPr>
        <w:pStyle w:val="BodyText"/>
        <w:spacing w:after="0"/>
        <w:ind w:right="26"/>
        <w:jc w:val="both"/>
        <w:rPr>
          <w:rFonts w:ascii="Times New Roman" w:hAnsi="Times New Roman"/>
          <w:lang w:val="en-US"/>
        </w:rPr>
      </w:pPr>
      <w:r>
        <w:rPr>
          <w:rFonts w:ascii="Times New Roman" w:hAnsi="Times New Roman"/>
          <w:lang w:val="en-US"/>
        </w:rPr>
        <w:t>By virtue of Law 3454/2006 on the “Support of the Family and other provisions”, beneficiaries of financial and institutional benefits are families having three children</w:t>
      </w:r>
      <w:r w:rsidR="00733454">
        <w:rPr>
          <w:rFonts w:ascii="Times New Roman" w:hAnsi="Times New Roman"/>
          <w:lang w:val="en-US"/>
        </w:rPr>
        <w:t>.</w:t>
      </w:r>
    </w:p>
    <w:p w:rsidR="00822681" w:rsidRDefault="00822681">
      <w:pPr>
        <w:pStyle w:val="BodyText"/>
        <w:spacing w:after="0"/>
        <w:ind w:left="360" w:right="26"/>
        <w:jc w:val="both"/>
        <w:rPr>
          <w:rFonts w:ascii="Times New Roman" w:hAnsi="Times New Roman"/>
          <w:lang w:val="en-US"/>
        </w:rPr>
      </w:pPr>
    </w:p>
    <w:p w:rsidR="00822681" w:rsidRDefault="00822681">
      <w:pPr>
        <w:pStyle w:val="BodyText"/>
        <w:ind w:right="26"/>
        <w:jc w:val="both"/>
        <w:rPr>
          <w:rFonts w:ascii="Times New Roman" w:hAnsi="Times New Roman"/>
          <w:bCs/>
          <w:u w:val="single"/>
          <w:lang w:val="en-US"/>
        </w:rPr>
      </w:pPr>
      <w:r>
        <w:rPr>
          <w:rFonts w:ascii="Times New Roman" w:hAnsi="Times New Roman"/>
          <w:bCs/>
          <w:u w:val="single"/>
          <w:lang w:val="en-GB"/>
        </w:rPr>
        <w:t>2</w:t>
      </w:r>
      <w:r>
        <w:rPr>
          <w:rFonts w:ascii="Times New Roman" w:hAnsi="Times New Roman"/>
          <w:bCs/>
          <w:u w:val="single"/>
          <w:lang w:val="en-US"/>
        </w:rPr>
        <w:t>. Unprotected children – Maternity benefit</w:t>
      </w:r>
    </w:p>
    <w:p w:rsidR="00822681" w:rsidRDefault="00555E51">
      <w:pPr>
        <w:pStyle w:val="BodyText"/>
        <w:ind w:right="26"/>
        <w:jc w:val="both"/>
        <w:rPr>
          <w:rFonts w:ascii="Times New Roman" w:hAnsi="Times New Roman"/>
          <w:lang w:val="en-US"/>
        </w:rPr>
      </w:pPr>
      <w:r>
        <w:rPr>
          <w:rFonts w:ascii="Times New Roman" w:hAnsi="Times New Roman"/>
          <w:lang w:val="en-US"/>
        </w:rPr>
        <w:t>114.</w:t>
      </w:r>
      <w:r>
        <w:rPr>
          <w:rFonts w:ascii="Times New Roman" w:hAnsi="Times New Roman"/>
          <w:lang w:val="en-US"/>
        </w:rPr>
        <w:tab/>
      </w:r>
      <w:r w:rsidR="00822681">
        <w:rPr>
          <w:rFonts w:ascii="Times New Roman" w:hAnsi="Times New Roman"/>
          <w:lang w:val="en-US"/>
        </w:rPr>
        <w:t>The State grants to all beneficiaries that meet the requirements of the Law, with no discrimination as to race, religion or origin, the benefits provided for in the Financial Aid Programme for unprotected children (Law 4051/60), provided they are permanent residents of Greece.</w:t>
      </w:r>
    </w:p>
    <w:p w:rsidR="00822681" w:rsidRDefault="00555E51">
      <w:pPr>
        <w:pStyle w:val="BodyText"/>
        <w:ind w:right="26"/>
        <w:jc w:val="both"/>
        <w:rPr>
          <w:rFonts w:ascii="Times New Roman" w:hAnsi="Times New Roman"/>
          <w:lang w:val="en-US"/>
        </w:rPr>
      </w:pPr>
      <w:r>
        <w:rPr>
          <w:rFonts w:ascii="Times New Roman" w:hAnsi="Times New Roman"/>
          <w:lang w:val="en-US"/>
        </w:rPr>
        <w:lastRenderedPageBreak/>
        <w:t>115.</w:t>
      </w:r>
      <w:r>
        <w:rPr>
          <w:rFonts w:ascii="Times New Roman" w:hAnsi="Times New Roman"/>
          <w:lang w:val="en-US"/>
        </w:rPr>
        <w:tab/>
      </w:r>
      <w:r w:rsidR="00822681">
        <w:rPr>
          <w:rFonts w:ascii="Times New Roman" w:hAnsi="Times New Roman"/>
          <w:lang w:val="en-US"/>
        </w:rPr>
        <w:t xml:space="preserve">All working mothers who cannot claim maternity benefits from a social security fund or are uninsured are also granted maternity benefits. The maternity benefit is also granted to all foreign citizens, provided they meet the aforementioned requirements and their permanent residence is in </w:t>
      </w:r>
      <w:smartTag w:uri="urn:schemas-microsoft-com:office:smarttags" w:element="country-region">
        <w:smartTag w:uri="urn:schemas-microsoft-com:office:smarttags" w:element="place">
          <w:r w:rsidR="00822681">
            <w:rPr>
              <w:rFonts w:ascii="Times New Roman" w:hAnsi="Times New Roman"/>
              <w:lang w:val="en-US"/>
            </w:rPr>
            <w:t>Greece</w:t>
          </w:r>
        </w:smartTag>
      </w:smartTag>
      <w:r w:rsidR="00822681">
        <w:rPr>
          <w:rFonts w:ascii="Times New Roman" w:hAnsi="Times New Roman"/>
          <w:lang w:val="en-US"/>
        </w:rPr>
        <w:t>.</w:t>
      </w:r>
    </w:p>
    <w:p w:rsidR="00361E35" w:rsidRDefault="00361E35">
      <w:pPr>
        <w:ind w:right="26"/>
        <w:jc w:val="both"/>
        <w:rPr>
          <w:lang w:val="en-US"/>
        </w:rPr>
      </w:pPr>
    </w:p>
    <w:p w:rsidR="00822681" w:rsidRDefault="00822681">
      <w:pPr>
        <w:ind w:right="26"/>
        <w:jc w:val="both"/>
        <w:rPr>
          <w:b/>
          <w:szCs w:val="25"/>
          <w:lang w:val="en-US"/>
        </w:rPr>
      </w:pPr>
      <w:r>
        <w:rPr>
          <w:b/>
          <w:szCs w:val="25"/>
          <w:lang w:val="en-US"/>
        </w:rPr>
        <w:t>Measures for the support of the family in the field of social protection</w:t>
      </w:r>
    </w:p>
    <w:p w:rsidR="00AA37C3" w:rsidRDefault="00AA37C3">
      <w:pPr>
        <w:ind w:right="26"/>
        <w:jc w:val="both"/>
        <w:rPr>
          <w:szCs w:val="25"/>
          <w:lang w:val="en-US"/>
        </w:rPr>
      </w:pPr>
    </w:p>
    <w:p w:rsidR="00822681" w:rsidRDefault="00555E51">
      <w:pPr>
        <w:ind w:right="26"/>
        <w:jc w:val="both"/>
        <w:rPr>
          <w:szCs w:val="25"/>
          <w:lang w:val="en-US"/>
        </w:rPr>
      </w:pPr>
      <w:r>
        <w:rPr>
          <w:szCs w:val="25"/>
          <w:lang w:val="en-US"/>
        </w:rPr>
        <w:t>116.</w:t>
      </w:r>
      <w:r>
        <w:rPr>
          <w:szCs w:val="25"/>
          <w:lang w:val="en-US"/>
        </w:rPr>
        <w:tab/>
      </w:r>
      <w:r w:rsidR="00822681">
        <w:rPr>
          <w:szCs w:val="25"/>
          <w:lang w:val="en-US"/>
        </w:rPr>
        <w:t xml:space="preserve">The support of the family is an important priority in the sector of Social Protection. </w:t>
      </w:r>
      <w:r w:rsidR="00822681">
        <w:rPr>
          <w:lang w:val="en-GB"/>
        </w:rPr>
        <w:t>In the National Reform Programme 2011-2014, a long-term strategy is developed, with regards to the fight against poverty and the breaking of the intergenerational transmission of poverty, with main axes of priority the support of parents’ employment and the ensuring of access for children and their families to services, in order to cover basic needs and upgrading their quality of life</w:t>
      </w:r>
      <w:r w:rsidR="00822681">
        <w:rPr>
          <w:szCs w:val="25"/>
          <w:lang w:val="en-GB"/>
        </w:rPr>
        <w:t xml:space="preserve">. </w:t>
      </w:r>
      <w:r w:rsidR="00822681">
        <w:rPr>
          <w:szCs w:val="25"/>
          <w:lang w:val="en-US"/>
        </w:rPr>
        <w:t>More specifically:</w:t>
      </w:r>
    </w:p>
    <w:p w:rsidR="00822681" w:rsidRDefault="00822681">
      <w:pPr>
        <w:ind w:right="26"/>
        <w:jc w:val="both"/>
        <w:rPr>
          <w:szCs w:val="25"/>
          <w:lang w:val="en-US"/>
        </w:rPr>
      </w:pPr>
    </w:p>
    <w:p w:rsidR="00822681" w:rsidRDefault="00822681" w:rsidP="00555E51">
      <w:pPr>
        <w:ind w:left="540" w:right="26"/>
        <w:jc w:val="both"/>
        <w:rPr>
          <w:szCs w:val="25"/>
          <w:u w:val="single"/>
          <w:lang w:val="en-US"/>
        </w:rPr>
      </w:pPr>
      <w:r>
        <w:rPr>
          <w:szCs w:val="25"/>
          <w:u w:val="single"/>
          <w:lang w:val="en-US"/>
        </w:rPr>
        <w:t>a. Actions for the enhancement of employment of women and young people</w:t>
      </w:r>
    </w:p>
    <w:p w:rsidR="00822681" w:rsidRDefault="00822681" w:rsidP="00555E51">
      <w:pPr>
        <w:ind w:left="540" w:right="26"/>
        <w:jc w:val="both"/>
        <w:rPr>
          <w:szCs w:val="25"/>
          <w:lang w:val="en-US"/>
        </w:rPr>
      </w:pPr>
      <w:r>
        <w:rPr>
          <w:szCs w:val="25"/>
          <w:lang w:val="en-US"/>
        </w:rPr>
        <w:t>(</w:t>
      </w:r>
      <w:r w:rsidR="00361E35">
        <w:rPr>
          <w:szCs w:val="25"/>
          <w:lang w:val="en-US"/>
        </w:rPr>
        <w:t>See</w:t>
      </w:r>
      <w:r>
        <w:rPr>
          <w:szCs w:val="25"/>
          <w:lang w:val="en-US"/>
        </w:rPr>
        <w:t xml:space="preserve"> this report, under article 6).</w:t>
      </w:r>
    </w:p>
    <w:p w:rsidR="00822681" w:rsidRDefault="00822681" w:rsidP="00555E51">
      <w:pPr>
        <w:ind w:left="540" w:right="26"/>
        <w:jc w:val="both"/>
        <w:rPr>
          <w:szCs w:val="25"/>
          <w:lang w:val="en-US"/>
        </w:rPr>
      </w:pPr>
    </w:p>
    <w:p w:rsidR="00822681" w:rsidRDefault="00822681" w:rsidP="00555E51">
      <w:pPr>
        <w:ind w:left="540" w:right="26"/>
        <w:jc w:val="both"/>
        <w:rPr>
          <w:szCs w:val="25"/>
          <w:u w:val="single"/>
          <w:lang w:val="en-US"/>
        </w:rPr>
      </w:pPr>
      <w:r>
        <w:rPr>
          <w:szCs w:val="25"/>
          <w:u w:val="single"/>
          <w:lang w:val="en-US"/>
        </w:rPr>
        <w:t>b. Actions for the reconciliation between family and professional life</w:t>
      </w:r>
    </w:p>
    <w:p w:rsidR="00822681" w:rsidRDefault="00822681" w:rsidP="00555E51">
      <w:pPr>
        <w:ind w:left="540" w:right="26"/>
        <w:jc w:val="both"/>
        <w:rPr>
          <w:szCs w:val="25"/>
          <w:lang w:val="en-US"/>
        </w:rPr>
      </w:pPr>
      <w:r>
        <w:rPr>
          <w:szCs w:val="25"/>
          <w:lang w:val="en-US"/>
        </w:rPr>
        <w:t>Through the 2</w:t>
      </w:r>
      <w:r>
        <w:rPr>
          <w:szCs w:val="25"/>
          <w:vertAlign w:val="superscript"/>
          <w:lang w:val="en-US"/>
        </w:rPr>
        <w:t>nd</w:t>
      </w:r>
      <w:r>
        <w:rPr>
          <w:szCs w:val="25"/>
          <w:lang w:val="en-US"/>
        </w:rPr>
        <w:t xml:space="preserve"> Community Support Framework, Children Care Structures, as well as Elderly and Helpless Persons Care Structures</w:t>
      </w:r>
      <w:r w:rsidR="006B2D3E">
        <w:rPr>
          <w:szCs w:val="25"/>
          <w:lang w:val="en-US"/>
        </w:rPr>
        <w:t xml:space="preserve">, </w:t>
      </w:r>
      <w:r>
        <w:rPr>
          <w:szCs w:val="25"/>
          <w:lang w:val="en-US"/>
        </w:rPr>
        <w:t>were established. Through the 3</w:t>
      </w:r>
      <w:r>
        <w:rPr>
          <w:szCs w:val="25"/>
          <w:vertAlign w:val="superscript"/>
          <w:lang w:val="en-US"/>
        </w:rPr>
        <w:t>rd</w:t>
      </w:r>
      <w:r>
        <w:rPr>
          <w:szCs w:val="25"/>
          <w:lang w:val="en-US"/>
        </w:rPr>
        <w:t xml:space="preserve"> Community Support Framework, about 1,620 Structures with about 7,000 workers and more than 130,000 benefited persons were financed.</w:t>
      </w:r>
    </w:p>
    <w:p w:rsidR="00822681" w:rsidRDefault="00822681" w:rsidP="00555E51">
      <w:pPr>
        <w:ind w:left="540" w:right="26"/>
        <w:jc w:val="both"/>
        <w:rPr>
          <w:lang w:val="en-US"/>
        </w:rPr>
      </w:pPr>
    </w:p>
    <w:p w:rsidR="00822681" w:rsidRDefault="00822681" w:rsidP="00555E51">
      <w:pPr>
        <w:ind w:left="540" w:right="26"/>
        <w:jc w:val="both"/>
        <w:rPr>
          <w:u w:val="single"/>
          <w:lang w:val="en-GB"/>
        </w:rPr>
      </w:pPr>
      <w:r>
        <w:rPr>
          <w:u w:val="single"/>
          <w:lang w:val="en-GB"/>
        </w:rPr>
        <w:t xml:space="preserve">Operational Programme: </w:t>
      </w:r>
      <w:r>
        <w:rPr>
          <w:lang w:val="en-GB"/>
        </w:rPr>
        <w:t>“Human Resources Development’’2007-2013 /</w:t>
      </w:r>
    </w:p>
    <w:p w:rsidR="00822681" w:rsidRDefault="00822681" w:rsidP="00555E51">
      <w:pPr>
        <w:ind w:left="540" w:right="26"/>
        <w:jc w:val="both"/>
        <w:rPr>
          <w:u w:val="single"/>
          <w:lang w:val="en-GB"/>
        </w:rPr>
      </w:pPr>
      <w:r>
        <w:rPr>
          <w:u w:val="single"/>
          <w:lang w:val="en-GB"/>
        </w:rPr>
        <w:t xml:space="preserve">Action: Reconciliation of family and professional life </w:t>
      </w:r>
    </w:p>
    <w:p w:rsidR="00822681" w:rsidRDefault="00822681">
      <w:pPr>
        <w:ind w:right="26"/>
        <w:jc w:val="both"/>
        <w:rPr>
          <w:u w:val="single"/>
          <w:lang w:val="en-GB"/>
        </w:rPr>
      </w:pPr>
    </w:p>
    <w:p w:rsidR="00822681" w:rsidRPr="006B2D3E" w:rsidRDefault="00555E51" w:rsidP="006B2D3E">
      <w:pPr>
        <w:autoSpaceDE w:val="0"/>
        <w:autoSpaceDN w:val="0"/>
        <w:adjustRightInd w:val="0"/>
        <w:ind w:right="26"/>
        <w:jc w:val="both"/>
        <w:rPr>
          <w:lang w:val="en-GB"/>
        </w:rPr>
      </w:pPr>
      <w:r>
        <w:rPr>
          <w:lang w:val="en-GB"/>
        </w:rPr>
        <w:t>117.</w:t>
      </w:r>
      <w:r>
        <w:rPr>
          <w:lang w:val="en-GB"/>
        </w:rPr>
        <w:tab/>
      </w:r>
      <w:r w:rsidR="00822681">
        <w:rPr>
          <w:lang w:val="en-GB"/>
        </w:rPr>
        <w:t>The aim of this action is to increase women’s employment and to preserve women’s working positions by supporting them through the provision of childcare service</w:t>
      </w:r>
      <w:r w:rsidR="006B2D3E">
        <w:rPr>
          <w:lang w:val="en-GB"/>
        </w:rPr>
        <w:t xml:space="preserve">s in specific care structures. </w:t>
      </w:r>
      <w:r w:rsidR="00822681">
        <w:rPr>
          <w:szCs w:val="25"/>
          <w:lang w:val="en-US"/>
        </w:rPr>
        <w:t xml:space="preserve">Actions for the reconciliation between family and professional life were also developed in the context of the EU Initiative EQUAL. The above Initiative was financed by the European Social Fund by 75% and the Ministry of Employment and Social Protection by 25%. It was intended for all groups affected by discrimination and inequalities in the labour market, with a view to their professional and, in general, social integration. </w:t>
      </w:r>
    </w:p>
    <w:p w:rsidR="00822681" w:rsidRDefault="00822681">
      <w:pPr>
        <w:ind w:right="26"/>
        <w:jc w:val="both"/>
        <w:rPr>
          <w:szCs w:val="25"/>
          <w:lang w:val="en-US"/>
        </w:rPr>
      </w:pPr>
    </w:p>
    <w:p w:rsidR="00822681" w:rsidRDefault="00555E51">
      <w:pPr>
        <w:ind w:right="26"/>
        <w:jc w:val="both"/>
        <w:rPr>
          <w:szCs w:val="25"/>
          <w:lang w:val="en-US"/>
        </w:rPr>
      </w:pPr>
      <w:r>
        <w:rPr>
          <w:szCs w:val="25"/>
          <w:lang w:val="en-US"/>
        </w:rPr>
        <w:t>118.</w:t>
      </w:r>
      <w:r>
        <w:rPr>
          <w:szCs w:val="25"/>
          <w:lang w:val="en-US"/>
        </w:rPr>
        <w:tab/>
      </w:r>
      <w:r w:rsidR="00822681">
        <w:rPr>
          <w:szCs w:val="25"/>
          <w:lang w:val="en-US"/>
        </w:rPr>
        <w:t xml:space="preserve">Moreover, policies promoting </w:t>
      </w:r>
      <w:r w:rsidR="00822681">
        <w:rPr>
          <w:b/>
          <w:szCs w:val="25"/>
          <w:lang w:val="en-US"/>
        </w:rPr>
        <w:t>gender equality</w:t>
      </w:r>
      <w:r w:rsidR="00822681">
        <w:rPr>
          <w:szCs w:val="25"/>
          <w:lang w:val="en-US"/>
        </w:rPr>
        <w:t xml:space="preserve"> contribute to the reconciliation between family and professional life. Axis III of the Operational Program ‘Administrative Reform’ 2007-2013 is dedicated to the strengthening of equality policies throughout the actions of public authorities. In the same context, all regulatory administrative acts which have been issued and concern the implementation of vocational training programs, programs providing accompanying supportive services and services for the promotion to employment, provide for the compulsory participation of women at a percentage of 60%</w:t>
      </w:r>
      <w:r w:rsidR="00822681">
        <w:rPr>
          <w:b/>
          <w:szCs w:val="25"/>
          <w:lang w:val="en-US"/>
        </w:rPr>
        <w:t xml:space="preserve"> </w:t>
      </w:r>
      <w:r w:rsidR="00822681">
        <w:rPr>
          <w:szCs w:val="25"/>
          <w:lang w:val="en-US"/>
        </w:rPr>
        <w:t>in every intervention of the Operational Program.</w:t>
      </w:r>
    </w:p>
    <w:p w:rsidR="00822681" w:rsidRDefault="00822681">
      <w:pPr>
        <w:ind w:right="26"/>
        <w:jc w:val="both"/>
        <w:rPr>
          <w:szCs w:val="25"/>
          <w:lang w:val="en-US"/>
        </w:rPr>
      </w:pPr>
    </w:p>
    <w:p w:rsidR="00822681" w:rsidRDefault="00822681">
      <w:pPr>
        <w:ind w:right="26"/>
        <w:jc w:val="both"/>
        <w:rPr>
          <w:b/>
          <w:i/>
          <w:szCs w:val="25"/>
          <w:lang w:val="en-US"/>
        </w:rPr>
      </w:pPr>
      <w:r>
        <w:rPr>
          <w:b/>
          <w:lang w:val="en-GB"/>
        </w:rPr>
        <w:t xml:space="preserve">Reconciliation of working and private life, including </w:t>
      </w:r>
      <w:r w:rsidR="00361E35">
        <w:rPr>
          <w:b/>
          <w:lang w:val="en-GB"/>
        </w:rPr>
        <w:t>protection</w:t>
      </w:r>
      <w:r>
        <w:rPr>
          <w:b/>
          <w:szCs w:val="25"/>
          <w:lang w:val="en-US"/>
        </w:rPr>
        <w:t xml:space="preserve"> of maternity</w:t>
      </w:r>
    </w:p>
    <w:p w:rsidR="00822681" w:rsidRDefault="00555E51">
      <w:pPr>
        <w:pStyle w:val="a1"/>
        <w:ind w:right="26"/>
        <w:jc w:val="both"/>
        <w:rPr>
          <w:color w:val="333333"/>
          <w:lang w:val="en-GB"/>
        </w:rPr>
      </w:pPr>
      <w:r>
        <w:rPr>
          <w:rFonts w:ascii="Times New Roman" w:hAnsi="Times New Roman" w:cs="Times New Roman"/>
          <w:lang w:val="en-GB"/>
        </w:rPr>
        <w:t>119.</w:t>
      </w:r>
      <w:r>
        <w:rPr>
          <w:rFonts w:ascii="Times New Roman" w:hAnsi="Times New Roman" w:cs="Times New Roman"/>
          <w:lang w:val="en-GB"/>
        </w:rPr>
        <w:tab/>
      </w:r>
      <w:r w:rsidR="00822681">
        <w:rPr>
          <w:rFonts w:ascii="Times New Roman" w:hAnsi="Times New Roman" w:cs="Times New Roman"/>
          <w:lang w:val="en-GB"/>
        </w:rPr>
        <w:t xml:space="preserve">Schemes that help reconcile working and private life are embodied in the framework of maternity and parental leaves. Different schemes apply for the workers in the public and private sector. More specifically: </w:t>
      </w:r>
    </w:p>
    <w:p w:rsidR="00822681" w:rsidRDefault="00822681">
      <w:pPr>
        <w:ind w:right="26"/>
        <w:jc w:val="both"/>
        <w:rPr>
          <w:szCs w:val="25"/>
          <w:lang w:val="en-GB"/>
        </w:rPr>
      </w:pPr>
    </w:p>
    <w:p w:rsidR="00822681" w:rsidRDefault="00822681">
      <w:pPr>
        <w:ind w:right="26"/>
        <w:jc w:val="both"/>
        <w:rPr>
          <w:u w:val="single"/>
          <w:lang w:val="en-GB"/>
        </w:rPr>
      </w:pPr>
      <w:r>
        <w:rPr>
          <w:u w:val="single"/>
          <w:lang w:val="en-GB"/>
        </w:rPr>
        <w:t>Maternity leave</w:t>
      </w:r>
      <w:r>
        <w:rPr>
          <w:color w:val="333333"/>
          <w:u w:val="single"/>
          <w:lang w:val="en-GB"/>
        </w:rPr>
        <w:t>/</w:t>
      </w:r>
      <w:r>
        <w:rPr>
          <w:u w:val="single"/>
          <w:lang w:val="en-GB"/>
        </w:rPr>
        <w:t xml:space="preserve"> Delivery and confinement leave</w:t>
      </w:r>
    </w:p>
    <w:p w:rsidR="00822681" w:rsidRDefault="00822681">
      <w:pPr>
        <w:ind w:right="26"/>
        <w:jc w:val="both"/>
        <w:rPr>
          <w:b/>
          <w:lang w:val="en-GB"/>
        </w:rPr>
      </w:pPr>
    </w:p>
    <w:p w:rsidR="00822681" w:rsidRDefault="00822681">
      <w:pPr>
        <w:ind w:right="26"/>
        <w:jc w:val="both"/>
        <w:rPr>
          <w:i/>
          <w:lang w:val="en-GB"/>
        </w:rPr>
      </w:pPr>
      <w:r>
        <w:rPr>
          <w:i/>
          <w:lang w:val="en-GB"/>
        </w:rPr>
        <w:t>Public sector</w:t>
      </w:r>
    </w:p>
    <w:p w:rsidR="00822681" w:rsidRDefault="00555E51">
      <w:pPr>
        <w:ind w:right="26"/>
        <w:jc w:val="both"/>
        <w:rPr>
          <w:lang w:val="en-GB"/>
        </w:rPr>
      </w:pPr>
      <w:r>
        <w:rPr>
          <w:lang w:val="en-GB"/>
        </w:rPr>
        <w:t>120.</w:t>
      </w:r>
      <w:r>
        <w:rPr>
          <w:lang w:val="en-GB"/>
        </w:rPr>
        <w:tab/>
      </w:r>
      <w:r w:rsidR="00822681">
        <w:rPr>
          <w:lang w:val="en-GB"/>
        </w:rPr>
        <w:t xml:space="preserve">Five months of maternity leave are granted to public sector employees: the duration of paid maternity leave is 20 weeks. </w:t>
      </w:r>
    </w:p>
    <w:p w:rsidR="00822681" w:rsidRDefault="00822681">
      <w:pPr>
        <w:ind w:right="26"/>
        <w:jc w:val="both"/>
        <w:rPr>
          <w:b/>
          <w:lang w:val="en-GB"/>
        </w:rPr>
      </w:pPr>
    </w:p>
    <w:p w:rsidR="00822681" w:rsidRDefault="00822681">
      <w:pPr>
        <w:ind w:right="26"/>
        <w:jc w:val="both"/>
        <w:rPr>
          <w:i/>
          <w:lang w:val="en-GB"/>
        </w:rPr>
      </w:pPr>
      <w:r>
        <w:rPr>
          <w:i/>
          <w:lang w:val="en-GB"/>
        </w:rPr>
        <w:t>Private Sector</w:t>
      </w:r>
    </w:p>
    <w:p w:rsidR="00822681" w:rsidRDefault="00555E51">
      <w:pPr>
        <w:ind w:right="26"/>
        <w:jc w:val="both"/>
        <w:rPr>
          <w:lang w:val="en-GB"/>
        </w:rPr>
      </w:pPr>
      <w:r>
        <w:rPr>
          <w:lang w:val="en-GB"/>
        </w:rPr>
        <w:t>121.</w:t>
      </w:r>
      <w:r>
        <w:rPr>
          <w:lang w:val="en-GB"/>
        </w:rPr>
        <w:tab/>
      </w:r>
      <w:r w:rsidR="00822681">
        <w:rPr>
          <w:lang w:val="en-GB"/>
        </w:rPr>
        <w:t xml:space="preserve">According to article 7, National General Collective Labour Agreement 1993 and article 7, National General Collective Labour Agreement 2000-2001 ratified by article 11, Law 2874/2000, the duration of maternity leave shall be </w:t>
      </w:r>
      <w:r w:rsidR="00822681">
        <w:rPr>
          <w:b/>
          <w:lang w:val="en-GB"/>
        </w:rPr>
        <w:t>seventeen (17) weeks</w:t>
      </w:r>
      <w:r w:rsidR="00822681">
        <w:rPr>
          <w:lang w:val="en-GB"/>
        </w:rPr>
        <w:t xml:space="preserve"> for workers at any employer under a private law work relationship. Compliance with such periods is compulsory. In case of premature birth, the rest of the leave shall be granted after the delivery, so that the total</w:t>
      </w:r>
      <w:r w:rsidR="00361E35">
        <w:rPr>
          <w:lang w:val="en-GB"/>
        </w:rPr>
        <w:t xml:space="preserve"> </w:t>
      </w:r>
      <w:r w:rsidR="00822681">
        <w:rPr>
          <w:lang w:val="en-GB"/>
        </w:rPr>
        <w:t>leave be seventeen (17) weeks. Other legislative or regulatory arrangements provide for more favourable terms for the female workers.</w:t>
      </w:r>
    </w:p>
    <w:p w:rsidR="00822681" w:rsidRDefault="00822681">
      <w:pPr>
        <w:pStyle w:val="NormalWeb"/>
        <w:ind w:right="26"/>
        <w:jc w:val="both"/>
        <w:rPr>
          <w:i/>
          <w:color w:val="333333"/>
          <w:lang w:val="en-GB"/>
        </w:rPr>
      </w:pPr>
      <w:r>
        <w:rPr>
          <w:i/>
          <w:lang w:val="en-GB"/>
        </w:rPr>
        <w:t>Special maternity leave</w:t>
      </w:r>
    </w:p>
    <w:p w:rsidR="00822681" w:rsidRDefault="00555E51">
      <w:pPr>
        <w:pStyle w:val="NormalWeb"/>
        <w:spacing w:before="0" w:beforeAutospacing="0" w:after="0" w:afterAutospacing="0"/>
        <w:ind w:right="26"/>
        <w:jc w:val="both"/>
        <w:rPr>
          <w:lang w:val="en-GB"/>
        </w:rPr>
      </w:pPr>
      <w:r>
        <w:rPr>
          <w:lang w:val="en-GB"/>
        </w:rPr>
        <w:t>122.</w:t>
      </w:r>
      <w:r>
        <w:rPr>
          <w:lang w:val="en-GB"/>
        </w:rPr>
        <w:tab/>
      </w:r>
      <w:r w:rsidR="00822681">
        <w:rPr>
          <w:lang w:val="en-GB"/>
        </w:rPr>
        <w:t xml:space="preserve">Law 3655/2008 ‘Administrative and organizational reform of the Social Security System’ (article 142) has granted an additional period of leave for mothers employed in the private sector. Lasting up to six months, this </w:t>
      </w:r>
      <w:r w:rsidR="00822681">
        <w:rPr>
          <w:b/>
          <w:lang w:val="en-GB"/>
        </w:rPr>
        <w:t>special maternity leave</w:t>
      </w:r>
      <w:r w:rsidR="00822681">
        <w:rPr>
          <w:lang w:val="en-GB"/>
        </w:rPr>
        <w:t xml:space="preserve"> is granted to mothers insured with the Social Security Foundation (IKA) and employed full-time or part-time at enterprises under a fixed-term or open-ended labour relationship.</w:t>
      </w:r>
      <w:r w:rsidR="006B2D3E">
        <w:rPr>
          <w:lang w:val="en-GB"/>
        </w:rPr>
        <w:t xml:space="preserve"> </w:t>
      </w:r>
      <w:r w:rsidR="00822681">
        <w:rPr>
          <w:lang w:val="en-GB"/>
        </w:rPr>
        <w:t xml:space="preserve">According to Law 3996/2011(Article 36) women that take the special maternity leave are also insured for medical care </w:t>
      </w:r>
    </w:p>
    <w:p w:rsidR="00822681" w:rsidRDefault="00822681">
      <w:pPr>
        <w:ind w:right="26"/>
        <w:jc w:val="both"/>
        <w:rPr>
          <w:szCs w:val="25"/>
          <w:lang w:val="en-GB"/>
        </w:rPr>
      </w:pPr>
    </w:p>
    <w:p w:rsidR="00822681" w:rsidRDefault="00555E51">
      <w:pPr>
        <w:ind w:right="26"/>
        <w:jc w:val="both"/>
        <w:rPr>
          <w:lang w:val="en-US"/>
        </w:rPr>
      </w:pPr>
      <w:r>
        <w:rPr>
          <w:lang w:val="en-US"/>
        </w:rPr>
        <w:t>123.</w:t>
      </w:r>
      <w:r>
        <w:rPr>
          <w:lang w:val="en-US"/>
        </w:rPr>
        <w:tab/>
      </w:r>
      <w:r w:rsidR="00822681">
        <w:rPr>
          <w:lang w:val="en-US"/>
        </w:rPr>
        <w:t>Law 3896/2010 on “Application of the principle of equal opportunities and equal treatment between men and women in matters of labour and employment” (article 16) stipulates that the worker who has obtained a maternity leave shall be entitled, upon expiry of such leave, to return to her job or to an equivalent post on the same employment terms and conditions and to enjoy any improvement of working conditions, to which she would be entitled during her absence. Any less favourable treatment of the woman due to pregnancy or maternity, or of parents due to a parental upbringing leave or child care leave shall constitute discrimination (article 18).</w:t>
      </w:r>
    </w:p>
    <w:p w:rsidR="00361E35" w:rsidRDefault="00361E35">
      <w:pPr>
        <w:ind w:right="26"/>
        <w:jc w:val="both"/>
        <w:rPr>
          <w:szCs w:val="25"/>
          <w:u w:val="single"/>
          <w:lang w:val="en-US"/>
        </w:rPr>
      </w:pPr>
    </w:p>
    <w:p w:rsidR="007321E5" w:rsidRPr="001E3940" w:rsidRDefault="00555E51">
      <w:pPr>
        <w:ind w:right="26"/>
        <w:jc w:val="both"/>
        <w:rPr>
          <w:szCs w:val="25"/>
          <w:lang w:val="en-US"/>
        </w:rPr>
      </w:pPr>
      <w:r>
        <w:rPr>
          <w:szCs w:val="25"/>
          <w:lang w:val="en-US"/>
        </w:rPr>
        <w:t>124.</w:t>
      </w:r>
      <w:r>
        <w:rPr>
          <w:szCs w:val="25"/>
          <w:lang w:val="en-US"/>
        </w:rPr>
        <w:tab/>
      </w:r>
      <w:r w:rsidR="007321E5" w:rsidRPr="001E3940">
        <w:rPr>
          <w:szCs w:val="25"/>
          <w:lang w:val="en-US"/>
        </w:rPr>
        <w:t>Moreover, articles 48-54 of Chapter F of Law4075/2012 (A’89) adjusted our national legislation to the provisions of Directive 2010/18/EU of the Council of 8</w:t>
      </w:r>
      <w:r w:rsidR="007321E5" w:rsidRPr="001E3940">
        <w:rPr>
          <w:szCs w:val="25"/>
          <w:vertAlign w:val="superscript"/>
          <w:lang w:val="en-US"/>
        </w:rPr>
        <w:t>th</w:t>
      </w:r>
      <w:r w:rsidR="007321E5" w:rsidRPr="001E3940">
        <w:rPr>
          <w:szCs w:val="25"/>
          <w:lang w:val="en-US"/>
        </w:rPr>
        <w:t xml:space="preserve"> March 2012. In accordance with the above Law, working parents of both sexes, provided they have a year of previous service with the same employer, are entitled to unpaid leave of at least four (4) months and until their child reaches the age of six (6). Workers who have adopted a child have the same right, too. </w:t>
      </w:r>
    </w:p>
    <w:p w:rsidR="007321E5" w:rsidRDefault="007321E5">
      <w:pPr>
        <w:ind w:right="26"/>
        <w:jc w:val="both"/>
        <w:rPr>
          <w:szCs w:val="25"/>
          <w:u w:val="single"/>
          <w:lang w:val="en-US"/>
        </w:rPr>
      </w:pPr>
      <w:r>
        <w:rPr>
          <w:szCs w:val="25"/>
          <w:u w:val="single"/>
          <w:lang w:val="en-US"/>
        </w:rPr>
        <w:t xml:space="preserve"> </w:t>
      </w:r>
    </w:p>
    <w:p w:rsidR="00822681" w:rsidRDefault="00822681">
      <w:pPr>
        <w:ind w:right="26"/>
        <w:jc w:val="both"/>
        <w:rPr>
          <w:szCs w:val="25"/>
          <w:u w:val="single"/>
          <w:lang w:val="en-US"/>
        </w:rPr>
      </w:pPr>
      <w:r>
        <w:rPr>
          <w:szCs w:val="25"/>
          <w:u w:val="single"/>
          <w:lang w:val="en-US"/>
        </w:rPr>
        <w:t>Protection from dismissal</w:t>
      </w:r>
    </w:p>
    <w:p w:rsidR="00822681" w:rsidRDefault="00555E51">
      <w:pPr>
        <w:ind w:right="26"/>
        <w:jc w:val="both"/>
        <w:rPr>
          <w:lang w:val="en-GB"/>
        </w:rPr>
      </w:pPr>
      <w:r>
        <w:rPr>
          <w:szCs w:val="25"/>
          <w:lang w:val="en-GB"/>
        </w:rPr>
        <w:t>125.</w:t>
      </w:r>
      <w:r>
        <w:rPr>
          <w:szCs w:val="25"/>
          <w:lang w:val="en-GB"/>
        </w:rPr>
        <w:tab/>
      </w:r>
      <w:r w:rsidR="00822681">
        <w:rPr>
          <w:szCs w:val="25"/>
          <w:lang w:val="en-GB"/>
        </w:rPr>
        <w:t xml:space="preserve">Article 36(1) of Law 3996/2011 prohibits as absolutely null and void the termination of the labour contract or the labour relationship of a female worker by her employer, both during her pregnancy and for a period of 18 months after the delivery or during her absence for a longer period, due to a disease resulting from pregnancy or delivery, unless there is a serious reason for the termination. </w:t>
      </w:r>
    </w:p>
    <w:p w:rsidR="00822681" w:rsidRDefault="00822681">
      <w:pPr>
        <w:tabs>
          <w:tab w:val="num" w:pos="2520"/>
        </w:tabs>
        <w:ind w:right="26"/>
        <w:jc w:val="both"/>
        <w:rPr>
          <w:lang w:val="en-US"/>
        </w:rPr>
      </w:pPr>
    </w:p>
    <w:p w:rsidR="00822681" w:rsidRDefault="00555E51" w:rsidP="006B2D3E">
      <w:pPr>
        <w:ind w:right="26"/>
        <w:jc w:val="both"/>
        <w:rPr>
          <w:lang w:val="en-US"/>
        </w:rPr>
      </w:pPr>
      <w:r>
        <w:rPr>
          <w:lang w:val="en-US"/>
        </w:rPr>
        <w:lastRenderedPageBreak/>
        <w:t>126.</w:t>
      </w:r>
      <w:r>
        <w:rPr>
          <w:lang w:val="en-US"/>
        </w:rPr>
        <w:tab/>
      </w:r>
      <w:r w:rsidR="00822681">
        <w:rPr>
          <w:lang w:val="en-US"/>
        </w:rPr>
        <w:t>Furthermore, Law 3250/2004 on “Partial employment in the public sector, the Local Authorities and Legal Entities of Public Law</w:t>
      </w:r>
      <w:r w:rsidR="00361E35">
        <w:rPr>
          <w:lang w:val="en-US"/>
        </w:rPr>
        <w:t xml:space="preserve">” </w:t>
      </w:r>
      <w:r w:rsidR="00822681">
        <w:rPr>
          <w:lang w:val="en-US"/>
        </w:rPr>
        <w:t>provides for the following categories of employees, among others, as candidates for partial employment:</w:t>
      </w:r>
      <w:r w:rsidR="006B2D3E">
        <w:rPr>
          <w:lang w:val="en-US"/>
        </w:rPr>
        <w:t xml:space="preserve"> </w:t>
      </w:r>
      <w:r w:rsidR="00822681">
        <w:rPr>
          <w:lang w:val="en-US"/>
        </w:rPr>
        <w:t>mothers with minor children, in a percentage of 10%;</w:t>
      </w:r>
      <w:r w:rsidR="006B2D3E">
        <w:rPr>
          <w:lang w:val="en-US"/>
        </w:rPr>
        <w:t xml:space="preserve"> </w:t>
      </w:r>
      <w:r w:rsidR="00822681">
        <w:rPr>
          <w:lang w:val="en-US"/>
        </w:rPr>
        <w:t xml:space="preserve">parents with three children and more as well as their children, in a percentage of 10%. </w:t>
      </w:r>
    </w:p>
    <w:p w:rsidR="00822681" w:rsidRDefault="00822681">
      <w:pPr>
        <w:tabs>
          <w:tab w:val="num" w:pos="2520"/>
        </w:tabs>
        <w:ind w:right="26"/>
        <w:jc w:val="both"/>
        <w:rPr>
          <w:lang w:val="en-US"/>
        </w:rPr>
      </w:pPr>
    </w:p>
    <w:p w:rsidR="00822681" w:rsidRDefault="00555E51" w:rsidP="00555E51">
      <w:pPr>
        <w:ind w:right="26"/>
        <w:jc w:val="both"/>
        <w:rPr>
          <w:lang w:val="en-US"/>
        </w:rPr>
      </w:pPr>
      <w:r>
        <w:rPr>
          <w:lang w:val="en-US"/>
        </w:rPr>
        <w:t>127.</w:t>
      </w:r>
      <w:r>
        <w:rPr>
          <w:lang w:val="en-US"/>
        </w:rPr>
        <w:tab/>
      </w:r>
      <w:r w:rsidR="00822681">
        <w:rPr>
          <w:lang w:val="en-US"/>
        </w:rPr>
        <w:t>Finally, by virtue of Law 3454/2006 on “reinforcement of the family and other provisions”, the above mentioned provision has been extended to people with many children and parents with three children.</w:t>
      </w:r>
    </w:p>
    <w:p w:rsidR="00822681" w:rsidRDefault="00822681">
      <w:pPr>
        <w:tabs>
          <w:tab w:val="num" w:pos="2520"/>
        </w:tabs>
        <w:ind w:right="26"/>
        <w:jc w:val="both"/>
        <w:rPr>
          <w:lang w:val="en-US"/>
        </w:rPr>
      </w:pPr>
    </w:p>
    <w:p w:rsidR="00822681" w:rsidRDefault="00555E51">
      <w:pPr>
        <w:ind w:right="26"/>
        <w:jc w:val="both"/>
        <w:rPr>
          <w:iCs/>
          <w:szCs w:val="25"/>
          <w:lang w:val="en-US"/>
        </w:rPr>
      </w:pPr>
      <w:r w:rsidRPr="00555E51">
        <w:rPr>
          <w:szCs w:val="25"/>
          <w:lang w:val="en-GB"/>
        </w:rPr>
        <w:t>128.</w:t>
      </w:r>
      <w:r w:rsidRPr="00555E51">
        <w:rPr>
          <w:szCs w:val="25"/>
          <w:lang w:val="en-GB"/>
        </w:rPr>
        <w:tab/>
      </w:r>
      <w:r w:rsidR="00822681" w:rsidRPr="00555E51">
        <w:rPr>
          <w:szCs w:val="25"/>
          <w:lang w:val="en-GB"/>
        </w:rPr>
        <w:t>Other Leaves</w:t>
      </w:r>
      <w:r w:rsidR="00822681">
        <w:rPr>
          <w:b/>
          <w:szCs w:val="25"/>
          <w:lang w:val="en-GB"/>
        </w:rPr>
        <w:t xml:space="preserve">: </w:t>
      </w:r>
      <w:r w:rsidR="00822681">
        <w:rPr>
          <w:iCs/>
          <w:szCs w:val="25"/>
          <w:lang w:val="en-US"/>
        </w:rPr>
        <w:t xml:space="preserve">Marriage and child birth leave, Child care leave, </w:t>
      </w:r>
      <w:r w:rsidR="00822681">
        <w:rPr>
          <w:iCs/>
          <w:lang w:val="en-GB"/>
        </w:rPr>
        <w:t xml:space="preserve">Unpaid leave, </w:t>
      </w:r>
      <w:r w:rsidR="00822681">
        <w:rPr>
          <w:iCs/>
          <w:szCs w:val="25"/>
          <w:lang w:val="en-US"/>
        </w:rPr>
        <w:t>Single-parent families, Leave of absence for monitoring the child’s school performance, Leave in case of child’s or other dependant’s sickness, Foster parents, Reduced working hours</w:t>
      </w:r>
    </w:p>
    <w:p w:rsidR="00822681" w:rsidRDefault="00822681">
      <w:pPr>
        <w:ind w:right="26"/>
        <w:jc w:val="both"/>
        <w:rPr>
          <w:bCs/>
          <w:spacing w:val="-2"/>
          <w:lang w:val="en-US"/>
        </w:rPr>
      </w:pPr>
    </w:p>
    <w:p w:rsidR="00822681" w:rsidRDefault="00822681">
      <w:pPr>
        <w:ind w:right="26"/>
        <w:jc w:val="both"/>
        <w:rPr>
          <w:lang w:val="en-US"/>
        </w:rPr>
      </w:pPr>
      <w:r>
        <w:rPr>
          <w:b/>
          <w:lang w:val="en-US"/>
        </w:rPr>
        <w:t xml:space="preserve">Allowances granted by the Agricultural Insurance Organization </w:t>
      </w:r>
    </w:p>
    <w:p w:rsidR="00822681" w:rsidRDefault="00555E51" w:rsidP="00555E51">
      <w:pPr>
        <w:tabs>
          <w:tab w:val="num" w:pos="0"/>
        </w:tabs>
        <w:ind w:right="26"/>
        <w:jc w:val="both"/>
        <w:rPr>
          <w:lang w:val="en-US"/>
        </w:rPr>
      </w:pPr>
      <w:r>
        <w:rPr>
          <w:lang w:val="en-US"/>
        </w:rPr>
        <w:t>129.</w:t>
      </w:r>
      <w:r>
        <w:rPr>
          <w:lang w:val="en-US"/>
        </w:rPr>
        <w:tab/>
      </w:r>
      <w:r w:rsidR="00822681">
        <w:rPr>
          <w:lang w:val="en-US"/>
        </w:rPr>
        <w:t xml:space="preserve">The Agricultural Insurance Organization, as an agency of the Ministry of Health and Social Solidarity, grants a number of allowances to families of three or more children. The above mentioned allowances and the lifelong pension are paid to the beneficiary regardless of any other allowance, salary, pension, remuneration, reimbursement or profession. The allowances and the lifelong pension are paid every two months. Since 01.01.2007, no tax is deducted. </w:t>
      </w:r>
    </w:p>
    <w:p w:rsidR="00822681" w:rsidRDefault="00822681">
      <w:pPr>
        <w:tabs>
          <w:tab w:val="num" w:pos="0"/>
          <w:tab w:val="left" w:pos="1677"/>
        </w:tabs>
        <w:ind w:right="26"/>
        <w:jc w:val="both"/>
        <w:rPr>
          <w:lang w:val="en-US"/>
        </w:rPr>
      </w:pPr>
    </w:p>
    <w:p w:rsidR="00822681" w:rsidRDefault="00822681">
      <w:pPr>
        <w:tabs>
          <w:tab w:val="num" w:pos="0"/>
          <w:tab w:val="left" w:pos="1677"/>
        </w:tabs>
        <w:ind w:right="26"/>
        <w:jc w:val="both"/>
        <w:rPr>
          <w:b/>
          <w:lang w:val="en-US"/>
        </w:rPr>
      </w:pPr>
      <w:r>
        <w:rPr>
          <w:b/>
          <w:lang w:val="en-US"/>
        </w:rPr>
        <w:t>Single parent families</w:t>
      </w:r>
    </w:p>
    <w:p w:rsidR="00822681" w:rsidRDefault="00555E51" w:rsidP="00555E51">
      <w:pPr>
        <w:tabs>
          <w:tab w:val="num" w:pos="0"/>
        </w:tabs>
        <w:ind w:right="26"/>
        <w:jc w:val="both"/>
        <w:rPr>
          <w:lang w:val="en-US"/>
        </w:rPr>
      </w:pPr>
      <w:r>
        <w:rPr>
          <w:lang w:val="en-US"/>
        </w:rPr>
        <w:t>130.</w:t>
      </w:r>
      <w:r>
        <w:rPr>
          <w:lang w:val="en-US"/>
        </w:rPr>
        <w:tab/>
      </w:r>
      <w:r w:rsidR="00822681">
        <w:rPr>
          <w:lang w:val="en-US"/>
        </w:rPr>
        <w:t xml:space="preserve">A series of favourable arrangements have been provided to unmarried women, such as : parental leave (paid or non-paid), marriage benefit, reduced working time, priority in kindergartens, allowance for being a parent of many children, monthly allowance to children deprived from paternal protection, etc. The General </w:t>
      </w:r>
      <w:r w:rsidR="006B2D3E">
        <w:rPr>
          <w:lang w:val="en-US"/>
        </w:rPr>
        <w:t>Secretariat for Gender E</w:t>
      </w:r>
      <w:r w:rsidR="00822681">
        <w:rPr>
          <w:lang w:val="en-US"/>
        </w:rPr>
        <w:t>quality has issued a special brochure for single parent families, where all allowances granted by the State are mentioned in detail.</w:t>
      </w:r>
    </w:p>
    <w:p w:rsidR="00822681" w:rsidRDefault="00822681">
      <w:pPr>
        <w:ind w:right="26"/>
        <w:jc w:val="both"/>
        <w:rPr>
          <w:szCs w:val="25"/>
          <w:lang w:val="en-US"/>
        </w:rPr>
      </w:pPr>
    </w:p>
    <w:p w:rsidR="00822681" w:rsidRDefault="00822681">
      <w:pPr>
        <w:ind w:right="26"/>
        <w:jc w:val="both"/>
        <w:rPr>
          <w:b/>
          <w:bCs/>
          <w:lang w:val="en-US"/>
        </w:rPr>
      </w:pPr>
      <w:r>
        <w:rPr>
          <w:b/>
          <w:bCs/>
          <w:lang w:val="en-US"/>
        </w:rPr>
        <w:t>Legislation against discrimination in access to goods and services (paras. 15 and 36 of the Committee’s Concluding Observations)</w:t>
      </w:r>
    </w:p>
    <w:p w:rsidR="00822681" w:rsidRDefault="00822681">
      <w:pPr>
        <w:ind w:right="26"/>
        <w:jc w:val="both"/>
        <w:rPr>
          <w:lang w:val="en-US"/>
        </w:rPr>
      </w:pPr>
    </w:p>
    <w:p w:rsidR="00822681" w:rsidRDefault="00555E51">
      <w:pPr>
        <w:ind w:right="26"/>
        <w:jc w:val="both"/>
        <w:rPr>
          <w:lang w:val="en-US"/>
        </w:rPr>
      </w:pPr>
      <w:r>
        <w:rPr>
          <w:lang w:val="en-US"/>
        </w:rPr>
        <w:t>131.</w:t>
      </w:r>
      <w:r>
        <w:rPr>
          <w:lang w:val="en-US"/>
        </w:rPr>
        <w:tab/>
      </w:r>
      <w:r w:rsidR="00822681">
        <w:rPr>
          <w:lang w:val="en-US"/>
        </w:rPr>
        <w:t xml:space="preserve">During the reference period of this report, Law 3304/2005 (Official Gazette 16A/27-1-2005) ‘Application of the principle of equal treatment regardless of racial or ethnic origin, religious or other beliefs, disability, age or sexual orientation’ was promulgated, whereby the two Directives of the European Communities 2000/43/EC and 2000/78/EC were incorporated in the national law. For more details, see under Article 2 hereabove. </w:t>
      </w:r>
    </w:p>
    <w:p w:rsidR="00822681" w:rsidRDefault="00822681">
      <w:pPr>
        <w:ind w:right="26"/>
        <w:jc w:val="both"/>
        <w:rPr>
          <w:lang w:val="en-US"/>
        </w:rPr>
      </w:pPr>
    </w:p>
    <w:p w:rsidR="00822681" w:rsidRDefault="00555E51">
      <w:pPr>
        <w:ind w:right="26"/>
        <w:jc w:val="both"/>
        <w:rPr>
          <w:bCs/>
          <w:lang w:val="en-US"/>
        </w:rPr>
      </w:pPr>
      <w:r>
        <w:rPr>
          <w:lang w:val="en-US"/>
        </w:rPr>
        <w:t>132.</w:t>
      </w:r>
      <w:r>
        <w:rPr>
          <w:lang w:val="en-US"/>
        </w:rPr>
        <w:tab/>
      </w:r>
      <w:r w:rsidR="00822681">
        <w:rPr>
          <w:lang w:val="en-US"/>
        </w:rPr>
        <w:t xml:space="preserve">It is to be noted that the Ministry of Employment and Social Protection has implemented a series of actions aiming at providing information on the new legislation against discrimination. </w:t>
      </w:r>
    </w:p>
    <w:p w:rsidR="00822681" w:rsidRDefault="00822681">
      <w:pPr>
        <w:ind w:right="26"/>
        <w:jc w:val="both"/>
        <w:rPr>
          <w:lang w:val="en-US"/>
        </w:rPr>
      </w:pPr>
    </w:p>
    <w:p w:rsidR="00822681" w:rsidRDefault="00822681">
      <w:pPr>
        <w:ind w:right="26"/>
        <w:jc w:val="both"/>
        <w:rPr>
          <w:b/>
          <w:lang w:val="en-US"/>
        </w:rPr>
      </w:pPr>
      <w:r>
        <w:rPr>
          <w:b/>
          <w:lang w:val="en-US"/>
        </w:rPr>
        <w:t xml:space="preserve">Programmes to ensure access to services for all </w:t>
      </w:r>
    </w:p>
    <w:p w:rsidR="00822681" w:rsidRDefault="00822681">
      <w:pPr>
        <w:ind w:right="26"/>
        <w:jc w:val="both"/>
        <w:rPr>
          <w:lang w:val="en-US"/>
        </w:rPr>
      </w:pPr>
      <w:r>
        <w:rPr>
          <w:b/>
          <w:lang w:val="en-US"/>
        </w:rPr>
        <w:t xml:space="preserve">Community Programme Progress “For Employment and Social Solidarity” </w:t>
      </w:r>
      <w:r>
        <w:rPr>
          <w:b/>
          <w:bCs/>
          <w:lang w:val="en-US"/>
        </w:rPr>
        <w:t>(2007-2013).</w:t>
      </w:r>
      <w:r>
        <w:rPr>
          <w:lang w:val="en-US"/>
        </w:rPr>
        <w:t xml:space="preserve">  </w:t>
      </w:r>
    </w:p>
    <w:p w:rsidR="00822681" w:rsidRDefault="00555E51">
      <w:pPr>
        <w:ind w:right="26"/>
        <w:jc w:val="both"/>
        <w:rPr>
          <w:lang w:val="en-US"/>
        </w:rPr>
      </w:pPr>
      <w:r>
        <w:rPr>
          <w:lang w:val="en-US"/>
        </w:rPr>
        <w:t>133.</w:t>
      </w:r>
      <w:r>
        <w:rPr>
          <w:lang w:val="en-US"/>
        </w:rPr>
        <w:tab/>
      </w:r>
      <w:r w:rsidR="00822681">
        <w:rPr>
          <w:lang w:val="en-US"/>
        </w:rPr>
        <w:t xml:space="preserve">The Ministry of Labour and Social Security in the framework of the Community Programme Progress has implemented the project “Actions to promote </w:t>
      </w:r>
      <w:r w:rsidR="00822681">
        <w:rPr>
          <w:lang w:val="en-US"/>
        </w:rPr>
        <w:lastRenderedPageBreak/>
        <w:t>the principle of Equal Treatment”. The said project included the following actions:  (</w:t>
      </w:r>
      <w:r w:rsidR="00822681">
        <w:rPr>
          <w:szCs w:val="25"/>
          <w:lang w:val="en-US"/>
        </w:rPr>
        <w:t>1) Awareness raising campaign: “To make equality reality”, (</w:t>
      </w:r>
      <w:r w:rsidR="00822681">
        <w:rPr>
          <w:lang w:val="en-US"/>
        </w:rPr>
        <w:t>2) Training seminar for judges</w:t>
      </w:r>
      <w:r w:rsidR="00822681">
        <w:rPr>
          <w:b/>
          <w:lang w:val="en-US"/>
        </w:rPr>
        <w:t xml:space="preserve">, </w:t>
      </w:r>
      <w:r w:rsidR="00822681">
        <w:rPr>
          <w:lang w:val="en-US"/>
        </w:rPr>
        <w:t>(3) Combat</w:t>
      </w:r>
      <w:r w:rsidR="00E5217F">
        <w:rPr>
          <w:lang w:val="en-US"/>
        </w:rPr>
        <w:t>ing discrimination</w:t>
      </w:r>
      <w:r w:rsidR="00822681">
        <w:rPr>
          <w:lang w:val="en-US"/>
        </w:rPr>
        <w:t xml:space="preserve"> on </w:t>
      </w:r>
      <w:r w:rsidR="00E5217F">
        <w:rPr>
          <w:lang w:val="en-US"/>
        </w:rPr>
        <w:t xml:space="preserve">the </w:t>
      </w:r>
      <w:r w:rsidR="00822681">
        <w:rPr>
          <w:lang w:val="en-US"/>
        </w:rPr>
        <w:t>grounds of disability in the field of work and employment.</w:t>
      </w:r>
    </w:p>
    <w:p w:rsidR="00822681" w:rsidRDefault="00822681">
      <w:pPr>
        <w:ind w:right="26"/>
        <w:jc w:val="both"/>
        <w:rPr>
          <w:szCs w:val="25"/>
          <w:lang w:val="en-US"/>
        </w:rPr>
      </w:pPr>
    </w:p>
    <w:p w:rsidR="00822681" w:rsidRDefault="00822681">
      <w:pPr>
        <w:ind w:right="26"/>
        <w:jc w:val="both"/>
        <w:rPr>
          <w:szCs w:val="25"/>
          <w:u w:val="single"/>
          <w:lang w:val="en-US"/>
        </w:rPr>
      </w:pPr>
      <w:r>
        <w:rPr>
          <w:szCs w:val="25"/>
          <w:u w:val="single"/>
          <w:lang w:val="en-US"/>
        </w:rPr>
        <w:t>Operational Program ‘Human Resource Development 2007-2013’</w:t>
      </w:r>
    </w:p>
    <w:p w:rsidR="00822681" w:rsidRDefault="00555E51">
      <w:pPr>
        <w:ind w:right="26"/>
        <w:jc w:val="both"/>
        <w:rPr>
          <w:lang w:val="en-US"/>
        </w:rPr>
      </w:pPr>
      <w:r>
        <w:rPr>
          <w:szCs w:val="25"/>
          <w:lang w:val="en-US"/>
        </w:rPr>
        <w:t>134.</w:t>
      </w:r>
      <w:r>
        <w:rPr>
          <w:szCs w:val="25"/>
          <w:lang w:val="en-US"/>
        </w:rPr>
        <w:tab/>
      </w:r>
      <w:r w:rsidR="00822681">
        <w:rPr>
          <w:szCs w:val="25"/>
          <w:lang w:val="en-US"/>
        </w:rPr>
        <w:t>In the context of the Operational Program</w:t>
      </w:r>
      <w:r w:rsidR="00822681">
        <w:rPr>
          <w:b/>
          <w:szCs w:val="25"/>
          <w:lang w:val="en-US"/>
        </w:rPr>
        <w:t xml:space="preserve"> ‘Human Resource Development’ </w:t>
      </w:r>
      <w:r w:rsidR="00822681">
        <w:rPr>
          <w:szCs w:val="25"/>
          <w:lang w:val="en-US"/>
        </w:rPr>
        <w:t xml:space="preserve">for Programming Period 2007-2013, the Thematic Priority: ‘Complete Integration of all Human Resources into a Society of Equal Opportunities’ provides, among others actions, for a Category of Interventions ‘Prevention of and dealing with social exclusion of vulnerable population groups’, which concerns the implementation of targeted interventions for the social and professional integration of vulnerable population groups, including groups with cultural and/or religious differences, such as the Roma. </w:t>
      </w:r>
    </w:p>
    <w:p w:rsidR="00AA37C3" w:rsidRDefault="00AA37C3">
      <w:pPr>
        <w:ind w:right="26"/>
        <w:jc w:val="both"/>
        <w:rPr>
          <w:b/>
          <w:lang w:val="en-US"/>
        </w:rPr>
      </w:pPr>
    </w:p>
    <w:p w:rsidR="00822681" w:rsidRDefault="00822681">
      <w:pPr>
        <w:ind w:right="26"/>
        <w:jc w:val="both"/>
        <w:rPr>
          <w:b/>
          <w:lang w:val="en-US"/>
        </w:rPr>
      </w:pPr>
      <w:r>
        <w:rPr>
          <w:b/>
          <w:lang w:val="en-US"/>
        </w:rPr>
        <w:t>Measures of protection and assistance taken on behalf of children in the field of employment (paras</w:t>
      </w:r>
      <w:r w:rsidR="00E5217F">
        <w:rPr>
          <w:b/>
          <w:lang w:val="en-US"/>
        </w:rPr>
        <w:t xml:space="preserve">. </w:t>
      </w:r>
      <w:r>
        <w:rPr>
          <w:b/>
          <w:lang w:val="en-US"/>
        </w:rPr>
        <w:t>19 and 40, and 17, 38, 39 of the Committee’s Concluding Observations)</w:t>
      </w:r>
    </w:p>
    <w:p w:rsidR="00822681" w:rsidRDefault="00822681">
      <w:pPr>
        <w:ind w:right="26"/>
        <w:jc w:val="both"/>
        <w:rPr>
          <w:lang w:val="en-US"/>
        </w:rPr>
      </w:pPr>
    </w:p>
    <w:p w:rsidR="00822681" w:rsidRDefault="00555E51">
      <w:pPr>
        <w:ind w:right="26"/>
        <w:jc w:val="both"/>
        <w:rPr>
          <w:szCs w:val="25"/>
          <w:lang w:val="en-GB"/>
        </w:rPr>
      </w:pPr>
      <w:r>
        <w:rPr>
          <w:szCs w:val="25"/>
          <w:lang w:val="en-GB"/>
        </w:rPr>
        <w:t>135.</w:t>
      </w:r>
      <w:r>
        <w:rPr>
          <w:szCs w:val="25"/>
          <w:lang w:val="en-GB"/>
        </w:rPr>
        <w:tab/>
      </w:r>
      <w:r w:rsidR="00822681">
        <w:rPr>
          <w:szCs w:val="25"/>
          <w:lang w:val="en-GB"/>
        </w:rPr>
        <w:t xml:space="preserve">The Labour Inspectorate </w:t>
      </w:r>
      <w:r w:rsidR="00843174">
        <w:rPr>
          <w:szCs w:val="25"/>
          <w:lang w:val="en-GB"/>
        </w:rPr>
        <w:t xml:space="preserve">(S.EP.E.) </w:t>
      </w:r>
      <w:r w:rsidR="00822681">
        <w:rPr>
          <w:szCs w:val="25"/>
          <w:lang w:val="en-GB"/>
        </w:rPr>
        <w:t>supervises and controls the implementation of the labour law</w:t>
      </w:r>
      <w:r w:rsidR="00733454">
        <w:rPr>
          <w:szCs w:val="25"/>
          <w:lang w:val="en-GB"/>
        </w:rPr>
        <w:t xml:space="preserve"> regarding the employment of minors.</w:t>
      </w:r>
      <w:r w:rsidR="00843174">
        <w:rPr>
          <w:szCs w:val="25"/>
          <w:lang w:val="en-GB"/>
        </w:rPr>
        <w:t xml:space="preserve"> S.EP.E. is competent to issue work booklets for minors (over 15 years old) </w:t>
      </w:r>
      <w:r w:rsidR="00D73831">
        <w:rPr>
          <w:szCs w:val="25"/>
          <w:lang w:val="en-GB"/>
        </w:rPr>
        <w:t>and after</w:t>
      </w:r>
      <w:r w:rsidR="00843174">
        <w:rPr>
          <w:szCs w:val="25"/>
          <w:lang w:val="en-GB"/>
        </w:rPr>
        <w:t xml:space="preserve"> a medical examination</w:t>
      </w:r>
      <w:r w:rsidR="00D73831">
        <w:rPr>
          <w:szCs w:val="25"/>
          <w:lang w:val="en-GB"/>
        </w:rPr>
        <w:t>,</w:t>
      </w:r>
      <w:r w:rsidR="00843174">
        <w:rPr>
          <w:szCs w:val="25"/>
          <w:lang w:val="en-GB"/>
        </w:rPr>
        <w:t xml:space="preserve"> so that they be allowed to </w:t>
      </w:r>
      <w:r w:rsidR="00D73831">
        <w:rPr>
          <w:szCs w:val="25"/>
          <w:lang w:val="en-GB"/>
        </w:rPr>
        <w:t>be employed in enterprises.</w:t>
      </w:r>
      <w:r w:rsidR="00E6695C">
        <w:rPr>
          <w:szCs w:val="25"/>
          <w:lang w:val="en-GB"/>
        </w:rPr>
        <w:t xml:space="preserve"> </w:t>
      </w:r>
      <w:r w:rsidR="00822681">
        <w:rPr>
          <w:szCs w:val="25"/>
          <w:lang w:val="en-GB"/>
        </w:rPr>
        <w:t xml:space="preserve">Employers and persons entrusted with the custody of minors, who are employed in any occupation or activity contrary to the law, shall be punished with an imprisonment of up to two (2) years and a fine; administrative sanctions shall also be imposed on the employers. </w:t>
      </w:r>
    </w:p>
    <w:p w:rsidR="00822681" w:rsidRDefault="00822681">
      <w:pPr>
        <w:ind w:right="26"/>
        <w:jc w:val="both"/>
        <w:rPr>
          <w:szCs w:val="25"/>
          <w:lang w:val="en-GB"/>
        </w:rPr>
      </w:pPr>
    </w:p>
    <w:p w:rsidR="00822681" w:rsidRDefault="00555E51">
      <w:pPr>
        <w:ind w:right="26"/>
        <w:jc w:val="both"/>
        <w:rPr>
          <w:lang w:val="en-US"/>
        </w:rPr>
      </w:pPr>
      <w:r>
        <w:rPr>
          <w:szCs w:val="25"/>
          <w:lang w:val="en-GB"/>
        </w:rPr>
        <w:t>136.</w:t>
      </w:r>
      <w:r>
        <w:rPr>
          <w:szCs w:val="25"/>
          <w:lang w:val="en-GB"/>
        </w:rPr>
        <w:tab/>
      </w:r>
      <w:r w:rsidR="00FF124B">
        <w:rPr>
          <w:szCs w:val="25"/>
          <w:lang w:val="en-GB"/>
        </w:rPr>
        <w:t>In 2010</w:t>
      </w:r>
      <w:r w:rsidR="00F6313E">
        <w:rPr>
          <w:szCs w:val="25"/>
          <w:lang w:val="en-US"/>
        </w:rPr>
        <w:t xml:space="preserve">, by virtue of Law 3850/2010 on the “Ratification of the Code of Laws on the health and safety of workers”, </w:t>
      </w:r>
      <w:r w:rsidR="00FF124B">
        <w:rPr>
          <w:lang w:val="en-US"/>
        </w:rPr>
        <w:t>1.462 work booklets for underage workers were issued</w:t>
      </w:r>
      <w:r w:rsidR="00F6313E">
        <w:rPr>
          <w:szCs w:val="25"/>
          <w:lang w:val="en-US"/>
        </w:rPr>
        <w:t xml:space="preserve">, following medical examinations that were carried out by doctors of the Social Insurance Institute (IKA). </w:t>
      </w:r>
      <w:r w:rsidR="00FF124B">
        <w:rPr>
          <w:szCs w:val="25"/>
          <w:lang w:val="en-US"/>
        </w:rPr>
        <w:t xml:space="preserve">In 2011, 874 work booklets were issued; </w:t>
      </w:r>
      <w:r w:rsidR="00F6313E">
        <w:rPr>
          <w:szCs w:val="25"/>
          <w:lang w:val="en-US"/>
        </w:rPr>
        <w:t xml:space="preserve">480 of them were granted to boys and 394 to girls. Moreover, </w:t>
      </w:r>
      <w:r w:rsidR="00F6313E">
        <w:rPr>
          <w:lang w:val="en-US"/>
        </w:rPr>
        <w:t xml:space="preserve">in 2010, 3 complaints were lodged </w:t>
      </w:r>
      <w:r w:rsidR="00FF124B">
        <w:rPr>
          <w:lang w:val="en-US"/>
        </w:rPr>
        <w:t>concerning</w:t>
      </w:r>
      <w:r w:rsidR="00F6313E">
        <w:rPr>
          <w:lang w:val="en-US"/>
        </w:rPr>
        <w:t xml:space="preserve"> illegal employment of </w:t>
      </w:r>
      <w:r w:rsidR="00FF124B">
        <w:rPr>
          <w:lang w:val="en-US"/>
        </w:rPr>
        <w:t xml:space="preserve">minors and 4 fines were imposed, whereas in 2011, </w:t>
      </w:r>
      <w:r w:rsidR="00F6313E">
        <w:rPr>
          <w:szCs w:val="25"/>
          <w:lang w:val="en-US"/>
        </w:rPr>
        <w:t xml:space="preserve">2 complaints were lodged concerning illegal employment of minors and 21 fines were imposed.  </w:t>
      </w:r>
    </w:p>
    <w:p w:rsidR="00822681" w:rsidRDefault="00822681">
      <w:pPr>
        <w:ind w:right="26"/>
        <w:jc w:val="both"/>
        <w:rPr>
          <w:lang w:val="en-US"/>
        </w:rPr>
      </w:pPr>
    </w:p>
    <w:p w:rsidR="00822681" w:rsidRDefault="00822681">
      <w:pPr>
        <w:pStyle w:val="BodyText"/>
        <w:ind w:right="26"/>
        <w:jc w:val="both"/>
        <w:rPr>
          <w:rFonts w:ascii="Times New Roman" w:hAnsi="Times New Roman"/>
          <w:b/>
          <w:lang w:val="en-US"/>
        </w:rPr>
      </w:pPr>
      <w:r>
        <w:rPr>
          <w:rFonts w:ascii="Times New Roman" w:hAnsi="Times New Roman"/>
          <w:b/>
          <w:lang w:val="en-US"/>
        </w:rPr>
        <w:t>Establishment of a family</w:t>
      </w:r>
    </w:p>
    <w:p w:rsidR="00822681" w:rsidRDefault="00555E51">
      <w:pPr>
        <w:pStyle w:val="BodyText"/>
        <w:ind w:right="26"/>
        <w:jc w:val="both"/>
        <w:rPr>
          <w:rFonts w:ascii="Times New Roman" w:hAnsi="Times New Roman"/>
          <w:lang w:val="en-US"/>
        </w:rPr>
      </w:pPr>
      <w:r>
        <w:rPr>
          <w:rFonts w:ascii="Times New Roman" w:hAnsi="Times New Roman"/>
          <w:lang w:val="en-US"/>
        </w:rPr>
        <w:t>137.</w:t>
      </w:r>
      <w:r>
        <w:rPr>
          <w:rFonts w:ascii="Times New Roman" w:hAnsi="Times New Roman"/>
          <w:lang w:val="en-US"/>
        </w:rPr>
        <w:tab/>
      </w:r>
      <w:r w:rsidR="00822681">
        <w:rPr>
          <w:rFonts w:ascii="Times New Roman" w:hAnsi="Times New Roman"/>
          <w:lang w:val="en-US"/>
        </w:rPr>
        <w:t xml:space="preserve">In addition to the information contained in paragraphs 271 and 272 of Greece’s initial report, an important recent development is the facilitation of cohabitation between people of different sex. </w:t>
      </w:r>
      <w:smartTag w:uri="urn:schemas-microsoft-com:office:smarttags" w:element="country-region">
        <w:smartTag w:uri="urn:schemas-microsoft-com:office:smarttags" w:element="place">
          <w:r w:rsidR="00822681">
            <w:rPr>
              <w:rFonts w:ascii="Times New Roman" w:hAnsi="Times New Roman"/>
              <w:lang w:val="en-US"/>
            </w:rPr>
            <w:t>Greece</w:t>
          </w:r>
        </w:smartTag>
      </w:smartTag>
      <w:r w:rsidR="00822681">
        <w:rPr>
          <w:rFonts w:ascii="Times New Roman" w:hAnsi="Times New Roman"/>
          <w:lang w:val="en-US"/>
        </w:rPr>
        <w:t xml:space="preserve"> recognizes the so called “cohabitation pact” as regulated in Law 3719/2008 “Amendments for the family, the child, the society and other provisions”. Under this law two adults (man and woman) may obtain legal recognition of their cohabitation, with legal effects similar to those of the marriage, through a “pact” certified by a notary public and deposited to the Registrar’s office. Special articles provide for the free use of family name, the property relations and the assets of the partners, the alimony following the dissolution of the union, parenthood, parental care and succession rights.</w:t>
      </w:r>
    </w:p>
    <w:p w:rsidR="00822681" w:rsidRDefault="00822681">
      <w:pPr>
        <w:pStyle w:val="BodyText"/>
        <w:ind w:right="26"/>
        <w:jc w:val="both"/>
        <w:rPr>
          <w:rFonts w:ascii="Times New Roman" w:hAnsi="Times New Roman"/>
          <w:b/>
          <w:lang w:val="en-US"/>
        </w:rPr>
      </w:pPr>
      <w:r>
        <w:rPr>
          <w:rFonts w:ascii="Times New Roman" w:hAnsi="Times New Roman"/>
          <w:b/>
          <w:lang w:val="en-US"/>
        </w:rPr>
        <w:t>Combating domestic violence and children’s sexual exploitation (paras. 16 and 37 of the Committee’s Concluding Observations)</w:t>
      </w:r>
    </w:p>
    <w:p w:rsidR="00822681" w:rsidRDefault="00555E51">
      <w:pPr>
        <w:jc w:val="both"/>
        <w:rPr>
          <w:bCs/>
          <w:lang w:val="en-US"/>
        </w:rPr>
      </w:pPr>
      <w:r>
        <w:rPr>
          <w:bCs/>
          <w:lang w:val="en-US"/>
        </w:rPr>
        <w:lastRenderedPageBreak/>
        <w:t>138.</w:t>
      </w:r>
      <w:r>
        <w:rPr>
          <w:bCs/>
          <w:lang w:val="en-US"/>
        </w:rPr>
        <w:tab/>
      </w:r>
      <w:r w:rsidR="00822681">
        <w:rPr>
          <w:bCs/>
          <w:lang w:val="en-US"/>
        </w:rPr>
        <w:t xml:space="preserve">A Law to fight domestic violence was adopted in 2006, which, inter alia, provides for more severe penalties for offences related to domestic violence; establishes a criminal mediation procedure for domestic violence crimes; punishes as a criminal offence marital rape; explicitly prohibits physical violence against minors; ensures protection to victims both by enabling their access to justice and guaranteeing their safety inside and outside home. The scope of Law 3500/2006 also covers stable partnership relations between a man and a woman who are not married. The adoption of the above Law was a decisive step forward; however, the number of women victims of domestic violence has not significantly decreased. </w:t>
      </w:r>
    </w:p>
    <w:p w:rsidR="00822681" w:rsidRDefault="00822681">
      <w:pPr>
        <w:jc w:val="both"/>
        <w:rPr>
          <w:bCs/>
          <w:lang w:val="en-US"/>
        </w:rPr>
      </w:pPr>
    </w:p>
    <w:p w:rsidR="00822681" w:rsidRPr="006E16C5" w:rsidRDefault="00555E51">
      <w:pPr>
        <w:jc w:val="both"/>
        <w:rPr>
          <w:bCs/>
          <w:lang w:val="en-US"/>
        </w:rPr>
      </w:pPr>
      <w:r>
        <w:rPr>
          <w:bCs/>
          <w:lang w:val="en-US"/>
        </w:rPr>
        <w:t>139.</w:t>
      </w:r>
      <w:r>
        <w:rPr>
          <w:bCs/>
          <w:lang w:val="en-US"/>
        </w:rPr>
        <w:tab/>
      </w:r>
      <w:r w:rsidR="00822681">
        <w:rPr>
          <w:bCs/>
          <w:lang w:val="en-US"/>
        </w:rPr>
        <w:t xml:space="preserve">In order to combat domestic violence, Local Government Organizations have been entrusted with the task of counseling victims of domestic violence. The General Secretariat for Gender Equality (GSGE) has developed actions to support women-victims through its two Counseling Centers. Another Shelter run by the </w:t>
      </w:r>
      <w:smartTag w:uri="urn:schemas-microsoft-com:office:smarttags" w:element="place">
        <w:smartTag w:uri="urn:schemas-microsoft-com:office:smarttags" w:element="PlaceType">
          <w:r w:rsidR="00822681">
            <w:rPr>
              <w:bCs/>
              <w:lang w:val="en-US"/>
            </w:rPr>
            <w:t>Municipality</w:t>
          </w:r>
        </w:smartTag>
        <w:r w:rsidR="00822681">
          <w:rPr>
            <w:bCs/>
            <w:lang w:val="en-US"/>
          </w:rPr>
          <w:t xml:space="preserve"> of </w:t>
        </w:r>
        <w:smartTag w:uri="urn:schemas-microsoft-com:office:smarttags" w:element="PlaceName">
          <w:r w:rsidR="00822681">
            <w:rPr>
              <w:bCs/>
              <w:lang w:val="en-US"/>
            </w:rPr>
            <w:t>Athens</w:t>
          </w:r>
        </w:smartTag>
      </w:smartTag>
      <w:r w:rsidR="00822681">
        <w:rPr>
          <w:bCs/>
          <w:lang w:val="en-US"/>
        </w:rPr>
        <w:t xml:space="preserve"> in cooperation with the GSGE offers hospitality to maltreated women and their children. The General Secretariat has also organized relevant events, including training and awareness-raising seminars; it has also published information leaflets in different languages. </w:t>
      </w:r>
      <w:r w:rsidR="006E16C5" w:rsidRPr="006E16C5">
        <w:rPr>
          <w:bCs/>
          <w:lang w:val="en-US"/>
        </w:rPr>
        <w:t>The National Centre for Social Solidarity of the Ministry of Health continued to provide support services to victims of violence through the SOS telephone Line ‘197’ ,  three shelters for victims in Athens, with a capacity of 60 beds. Its Services Network for combating domestic violence a</w:t>
      </w:r>
      <w:r w:rsidR="006E16C5">
        <w:rPr>
          <w:bCs/>
          <w:lang w:val="en-US"/>
        </w:rPr>
        <w:t>lso includes two more shelters</w:t>
      </w:r>
      <w:r w:rsidR="00E6695C">
        <w:rPr>
          <w:bCs/>
          <w:lang w:val="en-US"/>
        </w:rPr>
        <w:t>, operated by NGOs</w:t>
      </w:r>
      <w:r w:rsidR="006E16C5" w:rsidRPr="006E16C5">
        <w:rPr>
          <w:bCs/>
          <w:lang w:val="en-US"/>
        </w:rPr>
        <w:t xml:space="preserve"> and connected to the National Centre for Social Solidarity through Program Agreements which also include funding. It also provides support to victims through its Social support Centers which are staffed with specialized personnel and runs two Counseling/The</w:t>
      </w:r>
      <w:r w:rsidR="006E16C5">
        <w:rPr>
          <w:bCs/>
          <w:lang w:val="en-US"/>
        </w:rPr>
        <w:t>rapeutic programs for Offenders</w:t>
      </w:r>
      <w:r w:rsidR="006E16C5" w:rsidRPr="006E16C5">
        <w:rPr>
          <w:bCs/>
          <w:lang w:val="en-US"/>
        </w:rPr>
        <w:t>.</w:t>
      </w:r>
    </w:p>
    <w:p w:rsidR="00822681" w:rsidRDefault="00822681">
      <w:pPr>
        <w:jc w:val="both"/>
        <w:rPr>
          <w:bCs/>
          <w:lang w:val="en-US"/>
        </w:rPr>
      </w:pPr>
    </w:p>
    <w:p w:rsidR="00822681" w:rsidRDefault="00555E51">
      <w:pPr>
        <w:jc w:val="both"/>
        <w:rPr>
          <w:b/>
          <w:bCs/>
          <w:lang w:val="en-US"/>
        </w:rPr>
      </w:pPr>
      <w:r>
        <w:rPr>
          <w:bCs/>
          <w:lang w:val="en-US"/>
        </w:rPr>
        <w:t>140.</w:t>
      </w:r>
      <w:r>
        <w:rPr>
          <w:bCs/>
          <w:lang w:val="en-US"/>
        </w:rPr>
        <w:tab/>
      </w:r>
      <w:r w:rsidR="00822681">
        <w:rPr>
          <w:bCs/>
          <w:lang w:val="en-US"/>
        </w:rPr>
        <w:t>Furthermore, the Hellenic Police has issued a manual on the handling by the Police of domestic violence cases, providing guidance to police officers, as well as to all citizens, and in particular women victims of domestic violence. By decision of the Chief of the Hellenic Police</w:t>
      </w:r>
      <w:r w:rsidR="00822681">
        <w:rPr>
          <w:bCs/>
          <w:lang w:val="en-GB"/>
        </w:rPr>
        <w:t xml:space="preserve">, </w:t>
      </w:r>
      <w:r w:rsidR="00822681">
        <w:rPr>
          <w:bCs/>
          <w:lang w:val="en-US"/>
        </w:rPr>
        <w:t>domestic violence has been incorporated in the Police Academy Curriculum as a teaching subject. Moreover training seminars addressed to Police Officers on issues related to the dealing with inter-family violence are regularly conducted.</w:t>
      </w:r>
    </w:p>
    <w:p w:rsidR="00822681" w:rsidRDefault="00822681">
      <w:pPr>
        <w:jc w:val="both"/>
        <w:rPr>
          <w:bCs/>
          <w:lang w:val="en-US"/>
        </w:rPr>
      </w:pPr>
    </w:p>
    <w:p w:rsidR="00822681" w:rsidRDefault="00E45D1E">
      <w:pPr>
        <w:jc w:val="both"/>
        <w:rPr>
          <w:bCs/>
          <w:lang w:val="en-US"/>
        </w:rPr>
      </w:pPr>
      <w:r>
        <w:rPr>
          <w:bCs/>
          <w:lang w:val="en-US"/>
        </w:rPr>
        <w:t>141.</w:t>
      </w:r>
      <w:r>
        <w:rPr>
          <w:bCs/>
          <w:lang w:val="en-US"/>
        </w:rPr>
        <w:tab/>
      </w:r>
      <w:r w:rsidR="00822681">
        <w:rPr>
          <w:bCs/>
          <w:lang w:val="en-US"/>
        </w:rPr>
        <w:t xml:space="preserve">Finally, women’s organizations contributed to the development of education and awareness-raising actions. </w:t>
      </w:r>
    </w:p>
    <w:p w:rsidR="00822681" w:rsidRDefault="00822681">
      <w:pPr>
        <w:jc w:val="both"/>
        <w:rPr>
          <w:bCs/>
          <w:lang w:val="en-US"/>
        </w:rPr>
      </w:pPr>
    </w:p>
    <w:p w:rsidR="00822681" w:rsidRDefault="00E45D1E">
      <w:pPr>
        <w:jc w:val="both"/>
        <w:rPr>
          <w:bCs/>
          <w:lang w:val="en-US"/>
        </w:rPr>
      </w:pPr>
      <w:r>
        <w:rPr>
          <w:bCs/>
          <w:lang w:val="en-US"/>
        </w:rPr>
        <w:t>142.</w:t>
      </w:r>
      <w:r>
        <w:rPr>
          <w:bCs/>
          <w:lang w:val="en-US"/>
        </w:rPr>
        <w:tab/>
      </w:r>
      <w:r w:rsidR="00822681">
        <w:rPr>
          <w:bCs/>
          <w:lang w:val="en-US"/>
        </w:rPr>
        <w:t xml:space="preserve">Prevention and combating of violence against women in their family/ private life, in the workplace and in society more broadly is among the strategic goals of the National Action Plan on Substantive Gender Equality 2010-2013 prepared by the General Secretariat for Gender Equality. With regard to domestic violence, the Plan addresses 8 key areas: improving legislation, creating support structures, providing support services, developing prevention, strengthening training, research development and documentation, empowering civil society and promoting institutional partnerships. It is important to note, as a best practice, that a 24-hour SOS hotline was launched in March 2011, operated by psychologists and social workers and covering all forms of gender-based violence. In the first month of its operation, the hotline received 464 calls, most of them from the victims of violence themselves. A </w:t>
      </w:r>
      <w:r w:rsidR="00822681">
        <w:rPr>
          <w:lang w:val="en-US"/>
        </w:rPr>
        <w:t xml:space="preserve">National Campaign for information and sensitization of the public on violence against women </w:t>
      </w:r>
      <w:r w:rsidR="00822681">
        <w:rPr>
          <w:lang w:val="en-US"/>
        </w:rPr>
        <w:lastRenderedPageBreak/>
        <w:t xml:space="preserve">was launched, putting emphasis on the operation of the above mentioned telephone line through the social message “You are not alone. You are not the only one”.  </w:t>
      </w:r>
    </w:p>
    <w:p w:rsidR="00822681" w:rsidRDefault="00822681">
      <w:pPr>
        <w:jc w:val="both"/>
        <w:rPr>
          <w:bCs/>
          <w:lang w:val="en-US"/>
        </w:rPr>
      </w:pPr>
    </w:p>
    <w:p w:rsidR="00822681" w:rsidRDefault="00E45D1E">
      <w:pPr>
        <w:jc w:val="both"/>
        <w:rPr>
          <w:bCs/>
          <w:lang w:val="en-GB"/>
        </w:rPr>
      </w:pPr>
      <w:r>
        <w:rPr>
          <w:bCs/>
          <w:lang w:val="en-GB"/>
        </w:rPr>
        <w:t>143.</w:t>
      </w:r>
      <w:r>
        <w:rPr>
          <w:bCs/>
          <w:lang w:val="en-GB"/>
        </w:rPr>
        <w:tab/>
      </w:r>
      <w:r w:rsidR="00822681">
        <w:rPr>
          <w:bCs/>
          <w:lang w:val="en-GB"/>
        </w:rPr>
        <w:t xml:space="preserve">The preparation of a </w:t>
      </w:r>
      <w:r w:rsidR="00822681">
        <w:rPr>
          <w:bCs/>
          <w:lang w:val="en-US"/>
        </w:rPr>
        <w:t>Comprehensive</w:t>
      </w:r>
      <w:r w:rsidR="00822681">
        <w:rPr>
          <w:bCs/>
          <w:lang w:val="en-GB"/>
        </w:rPr>
        <w:t xml:space="preserve"> Law on violence against women</w:t>
      </w:r>
      <w:r w:rsidR="00822681">
        <w:rPr>
          <w:b/>
          <w:bCs/>
          <w:lang w:val="en-GB"/>
        </w:rPr>
        <w:t xml:space="preserve"> </w:t>
      </w:r>
      <w:r w:rsidR="00822681">
        <w:rPr>
          <w:bCs/>
          <w:lang w:val="en-GB"/>
        </w:rPr>
        <w:t>reflects the cross-sectional character of gender violence and is an internationally accepted method for legislating in order to combat the multiple and complex aspects of such criminal activities that penetrate all aspects of everyday life. More specifically</w:t>
      </w:r>
      <w:r w:rsidR="00534041">
        <w:rPr>
          <w:bCs/>
          <w:lang w:val="en-GB"/>
        </w:rPr>
        <w:t>, measures under consideration include</w:t>
      </w:r>
      <w:r w:rsidR="00822681">
        <w:rPr>
          <w:bCs/>
          <w:lang w:val="en-GB"/>
        </w:rPr>
        <w:t>:</w:t>
      </w:r>
      <w:r w:rsidR="00534041">
        <w:rPr>
          <w:bCs/>
          <w:lang w:val="en-GB"/>
        </w:rPr>
        <w:t xml:space="preserve"> on domestic violence, </w:t>
      </w:r>
      <w:r w:rsidR="00822681">
        <w:rPr>
          <w:bCs/>
          <w:lang w:val="en-GB"/>
        </w:rPr>
        <w:t xml:space="preserve">improvement of Law 3500/2006 on domestic violence and enhancement of the framework addressing domestic violence by creating support centres for victims and </w:t>
      </w:r>
      <w:r w:rsidR="00534041">
        <w:rPr>
          <w:bCs/>
          <w:lang w:val="en-GB"/>
        </w:rPr>
        <w:t>offering them temporary refuge; on social violence,</w:t>
      </w:r>
      <w:r w:rsidR="00822681">
        <w:rPr>
          <w:bCs/>
          <w:lang w:val="en-GB"/>
        </w:rPr>
        <w:t xml:space="preserve"> improvement and enhancement of legislation addressing crimes such as rape </w:t>
      </w:r>
      <w:r w:rsidR="00534041">
        <w:rPr>
          <w:bCs/>
          <w:lang w:val="en-GB"/>
        </w:rPr>
        <w:t xml:space="preserve">and human trafficking. Other </w:t>
      </w:r>
      <w:r w:rsidR="00822681">
        <w:rPr>
          <w:bCs/>
          <w:lang w:val="en-GB"/>
        </w:rPr>
        <w:t>cross-cutting issues</w:t>
      </w:r>
      <w:r w:rsidR="00822681">
        <w:rPr>
          <w:b/>
          <w:bCs/>
          <w:lang w:val="en-GB"/>
        </w:rPr>
        <w:t xml:space="preserve"> </w:t>
      </w:r>
      <w:r w:rsidR="00534041">
        <w:rPr>
          <w:bCs/>
          <w:lang w:val="en-GB"/>
        </w:rPr>
        <w:t>to be addressed include the e</w:t>
      </w:r>
      <w:r w:rsidR="00822681">
        <w:rPr>
          <w:bCs/>
          <w:lang w:val="en-GB"/>
        </w:rPr>
        <w:t xml:space="preserve">nhancement of the </w:t>
      </w:r>
      <w:r w:rsidR="00534041">
        <w:rPr>
          <w:bCs/>
          <w:lang w:val="en-GB"/>
        </w:rPr>
        <w:t xml:space="preserve">institutional role of the </w:t>
      </w:r>
      <w:r w:rsidR="00822681">
        <w:rPr>
          <w:bCs/>
          <w:lang w:val="en-GB"/>
        </w:rPr>
        <w:t xml:space="preserve">G. S. G. E.  </w:t>
      </w:r>
      <w:r w:rsidR="00822681">
        <w:rPr>
          <w:b/>
          <w:bCs/>
          <w:lang w:val="en-GB"/>
        </w:rPr>
        <w:t>(</w:t>
      </w:r>
      <w:r w:rsidR="00822681">
        <w:rPr>
          <w:bCs/>
          <w:lang w:val="en-GB"/>
        </w:rPr>
        <w:t>Counselling Centres</w:t>
      </w:r>
      <w:r w:rsidR="00822681">
        <w:rPr>
          <w:b/>
          <w:bCs/>
          <w:lang w:val="en-GB"/>
        </w:rPr>
        <w:t xml:space="preserve">) </w:t>
      </w:r>
      <w:r w:rsidR="00822681">
        <w:rPr>
          <w:bCs/>
          <w:lang w:val="en-GB"/>
        </w:rPr>
        <w:t>in the fight of violence against women in all of its form</w:t>
      </w:r>
      <w:r w:rsidR="00534041">
        <w:rPr>
          <w:bCs/>
          <w:lang w:val="en-GB"/>
        </w:rPr>
        <w:t>s and protection of the victims; the e</w:t>
      </w:r>
      <w:r w:rsidR="00822681">
        <w:rPr>
          <w:bCs/>
          <w:lang w:val="en-GB"/>
        </w:rPr>
        <w:t>xpansion of provisions on legal assistance</w:t>
      </w:r>
      <w:r w:rsidR="00822681">
        <w:rPr>
          <w:b/>
          <w:bCs/>
          <w:lang w:val="en-GB"/>
        </w:rPr>
        <w:t xml:space="preserve"> </w:t>
      </w:r>
      <w:r w:rsidR="00822681">
        <w:rPr>
          <w:bCs/>
          <w:lang w:val="en-GB"/>
        </w:rPr>
        <w:t xml:space="preserve">to victims in cooperation with Bar Associations, </w:t>
      </w:r>
      <w:r w:rsidR="00534041">
        <w:rPr>
          <w:bCs/>
          <w:lang w:val="en-GB"/>
        </w:rPr>
        <w:t>and the e</w:t>
      </w:r>
      <w:r w:rsidR="00822681">
        <w:rPr>
          <w:bCs/>
          <w:lang w:val="en-GB"/>
        </w:rPr>
        <w:t xml:space="preserve">stablishment of a National Observatory on combating violence against women. </w:t>
      </w:r>
    </w:p>
    <w:p w:rsidR="00822681" w:rsidRDefault="00822681">
      <w:pPr>
        <w:jc w:val="both"/>
        <w:rPr>
          <w:bCs/>
          <w:lang w:val="en-GB"/>
        </w:rPr>
      </w:pPr>
    </w:p>
    <w:p w:rsidR="00822681" w:rsidRDefault="00E45D1E">
      <w:pPr>
        <w:jc w:val="both"/>
        <w:rPr>
          <w:bCs/>
          <w:lang w:val="en-US"/>
        </w:rPr>
      </w:pPr>
      <w:r>
        <w:rPr>
          <w:bCs/>
          <w:lang w:val="en-GB"/>
        </w:rPr>
        <w:t>144.</w:t>
      </w:r>
      <w:r>
        <w:rPr>
          <w:bCs/>
          <w:lang w:val="en-GB"/>
        </w:rPr>
        <w:tab/>
      </w:r>
      <w:r w:rsidR="00822681">
        <w:rPr>
          <w:bCs/>
          <w:lang w:val="en-GB"/>
        </w:rPr>
        <w:t xml:space="preserve">Finally, </w:t>
      </w:r>
      <w:r w:rsidR="00822681">
        <w:rPr>
          <w:bCs/>
          <w:lang w:val="en-US"/>
        </w:rPr>
        <w:t>specialized training and study is already provided at the National School for Magistrates.</w:t>
      </w:r>
    </w:p>
    <w:p w:rsidR="00822681" w:rsidRDefault="00822681">
      <w:pPr>
        <w:ind w:right="26"/>
        <w:jc w:val="both"/>
        <w:rPr>
          <w:lang w:val="en-US"/>
        </w:rPr>
      </w:pPr>
    </w:p>
    <w:p w:rsidR="00822681" w:rsidRDefault="00E45D1E">
      <w:pPr>
        <w:pStyle w:val="BodyTextIndent"/>
        <w:ind w:left="0" w:right="26"/>
        <w:jc w:val="both"/>
        <w:rPr>
          <w:lang w:val="en-US"/>
        </w:rPr>
      </w:pPr>
      <w:r>
        <w:rPr>
          <w:lang w:val="en-US"/>
        </w:rPr>
        <w:t>145.</w:t>
      </w:r>
      <w:r>
        <w:rPr>
          <w:lang w:val="en-US"/>
        </w:rPr>
        <w:tab/>
      </w:r>
      <w:r w:rsidR="00822681">
        <w:rPr>
          <w:lang w:val="en-US"/>
        </w:rPr>
        <w:t>According to the statistical data kept in the Hellenic Police Headquarters concerning cases of domestic violence, the Police Authorities investigated 117 cases  in the year 2007 [since the entry into force of Law 3500/2006], whereas in the year 2008 they investigated 181 cases.</w:t>
      </w:r>
    </w:p>
    <w:p w:rsidR="00534041" w:rsidRDefault="00534041">
      <w:pPr>
        <w:pStyle w:val="BodyTextIndent"/>
        <w:ind w:left="0" w:right="26"/>
        <w:jc w:val="both"/>
        <w:rPr>
          <w:lang w:val="en-GB"/>
        </w:rPr>
      </w:pPr>
    </w:p>
    <w:p w:rsidR="00822681" w:rsidRDefault="00822681">
      <w:pPr>
        <w:pStyle w:val="BodyText"/>
        <w:ind w:right="26"/>
        <w:jc w:val="both"/>
        <w:rPr>
          <w:rFonts w:ascii="Times New Roman" w:hAnsi="Times New Roman"/>
          <w:b/>
          <w:lang w:val="en-US"/>
        </w:rPr>
      </w:pPr>
      <w:r>
        <w:rPr>
          <w:rFonts w:ascii="Times New Roman" w:hAnsi="Times New Roman"/>
          <w:b/>
          <w:lang w:val="en-US"/>
        </w:rPr>
        <w:t>The fight against sexual exploitation of children</w:t>
      </w:r>
    </w:p>
    <w:p w:rsidR="00822681" w:rsidRDefault="00E45D1E">
      <w:pPr>
        <w:pStyle w:val="BodyText"/>
        <w:ind w:right="26"/>
        <w:jc w:val="both"/>
        <w:rPr>
          <w:rFonts w:ascii="Times New Roman" w:hAnsi="Times New Roman"/>
          <w:lang w:val="en-US"/>
        </w:rPr>
      </w:pPr>
      <w:r>
        <w:rPr>
          <w:rFonts w:ascii="Times New Roman" w:hAnsi="Times New Roman"/>
          <w:lang w:val="en-US"/>
        </w:rPr>
        <w:t>146.</w:t>
      </w:r>
      <w:r>
        <w:rPr>
          <w:rFonts w:ascii="Times New Roman" w:hAnsi="Times New Roman"/>
          <w:lang w:val="en-US"/>
        </w:rPr>
        <w:tab/>
      </w:r>
      <w:r w:rsidR="00822681">
        <w:rPr>
          <w:rFonts w:ascii="Times New Roman" w:hAnsi="Times New Roman"/>
          <w:lang w:val="en-US"/>
        </w:rPr>
        <w:t xml:space="preserve">Several legislative provisions introduce special measures with regard to criminal acts and violence against minors, such as the relevant provisions of Law 3625/2007, ratifying and implementing the Optional Protocol to the UN Convention on the Rights of the Child on the sale of children, child prostitution and child pornography.  </w:t>
      </w:r>
    </w:p>
    <w:p w:rsidR="00822681" w:rsidRDefault="00E45D1E">
      <w:pPr>
        <w:pStyle w:val="BodyText"/>
        <w:ind w:right="26"/>
        <w:jc w:val="both"/>
        <w:rPr>
          <w:rFonts w:ascii="Times New Roman" w:hAnsi="Times New Roman"/>
          <w:lang w:val="en-US"/>
        </w:rPr>
      </w:pPr>
      <w:r>
        <w:rPr>
          <w:rFonts w:ascii="Times New Roman" w:hAnsi="Times New Roman"/>
          <w:lang w:val="en-US"/>
        </w:rPr>
        <w:t>147.</w:t>
      </w:r>
      <w:r>
        <w:rPr>
          <w:rFonts w:ascii="Times New Roman" w:hAnsi="Times New Roman"/>
          <w:lang w:val="en-US"/>
        </w:rPr>
        <w:tab/>
      </w:r>
      <w:r w:rsidR="00822681">
        <w:rPr>
          <w:rFonts w:ascii="Times New Roman" w:hAnsi="Times New Roman"/>
          <w:lang w:val="en-US"/>
        </w:rPr>
        <w:t xml:space="preserve">Moreover, Law 3727/2008 ratified the Council of Europe Convention on the protection of children against sexual exploitation and sexual abuse and introduced the necessary </w:t>
      </w:r>
      <w:r w:rsidR="00534041">
        <w:rPr>
          <w:rFonts w:ascii="Times New Roman" w:hAnsi="Times New Roman"/>
          <w:lang w:val="en-US"/>
        </w:rPr>
        <w:t>domesteic</w:t>
      </w:r>
      <w:r w:rsidR="00822681">
        <w:rPr>
          <w:rFonts w:ascii="Times New Roman" w:hAnsi="Times New Roman"/>
          <w:lang w:val="en-US"/>
        </w:rPr>
        <w:t xml:space="preserve"> law provisions for the implementation of the engagements undertaken under the above convention. </w:t>
      </w:r>
    </w:p>
    <w:p w:rsidR="00822681" w:rsidRDefault="00E45D1E">
      <w:pPr>
        <w:widowControl w:val="0"/>
        <w:suppressAutoHyphens/>
        <w:spacing w:before="120" w:after="120"/>
        <w:ind w:right="26"/>
        <w:jc w:val="both"/>
        <w:rPr>
          <w:lang w:val="en-US"/>
        </w:rPr>
      </w:pPr>
      <w:r>
        <w:rPr>
          <w:lang w:val="en-US"/>
        </w:rPr>
        <w:t>148.</w:t>
      </w:r>
      <w:r>
        <w:rPr>
          <w:lang w:val="en-US"/>
        </w:rPr>
        <w:tab/>
      </w:r>
      <w:r w:rsidR="00822681">
        <w:rPr>
          <w:lang w:val="en-US"/>
        </w:rPr>
        <w:t xml:space="preserve">New measures include stricter penalties against perpetrators, suspension of statute-barring until the victim comes of age, inapplicability of personal data protection provisions during the investigation of crimes against sexual freedom and economic exploitation of sexual life, crime prevention, awareness-raising and training, assistance to child victims, etc. More recently, Law 3860/2010 further updated and strengthened Greek legislation on minors, taking into account the UN Standard Minimum Rules for the Administration of Juvenile Justice (Beijing Rules). </w:t>
      </w:r>
    </w:p>
    <w:p w:rsidR="00822681" w:rsidRDefault="00822681">
      <w:pPr>
        <w:pStyle w:val="BodyText"/>
        <w:ind w:right="26"/>
        <w:jc w:val="both"/>
        <w:rPr>
          <w:rFonts w:ascii="Times New Roman" w:hAnsi="Times New Roman"/>
          <w:lang w:val="en-US"/>
        </w:rPr>
      </w:pPr>
      <w:r>
        <w:rPr>
          <w:rFonts w:ascii="Times New Roman" w:hAnsi="Times New Roman"/>
          <w:b/>
          <w:lang w:val="en-US"/>
        </w:rPr>
        <w:t>Combating trafficking in human beings (paras. 18 and 39 of the Committee’s Concluding Observations)</w:t>
      </w:r>
    </w:p>
    <w:p w:rsidR="00822681" w:rsidRDefault="00E45D1E">
      <w:pPr>
        <w:jc w:val="both"/>
        <w:rPr>
          <w:lang w:val="en-US"/>
        </w:rPr>
      </w:pPr>
      <w:r>
        <w:rPr>
          <w:lang w:val="en-US"/>
        </w:rPr>
        <w:t>149.</w:t>
      </w:r>
      <w:r>
        <w:rPr>
          <w:lang w:val="en-US"/>
        </w:rPr>
        <w:tab/>
      </w:r>
      <w:r w:rsidR="00822681">
        <w:rPr>
          <w:lang w:val="en-US"/>
        </w:rPr>
        <w:t>In 2010, prosecutions rose by 65%, convictions rose by 52%, and protection &amp; assistance for victims identified by the Public Prosecutor, increased by 60%.</w:t>
      </w:r>
    </w:p>
    <w:p w:rsidR="00822681" w:rsidRDefault="00822681">
      <w:pPr>
        <w:jc w:val="both"/>
        <w:rPr>
          <w:lang w:val="en-US"/>
        </w:rPr>
      </w:pPr>
    </w:p>
    <w:p w:rsidR="00822681" w:rsidRDefault="00E45D1E">
      <w:pPr>
        <w:jc w:val="both"/>
        <w:rPr>
          <w:lang w:val="en-US"/>
        </w:rPr>
      </w:pPr>
      <w:r>
        <w:rPr>
          <w:lang w:val="en-US"/>
        </w:rPr>
        <w:t>150.</w:t>
      </w:r>
      <w:r>
        <w:rPr>
          <w:lang w:val="en-US"/>
        </w:rPr>
        <w:tab/>
      </w:r>
      <w:r w:rsidR="00822681">
        <w:rPr>
          <w:lang w:val="en-US"/>
        </w:rPr>
        <w:t xml:space="preserve">One of the most important challenges that Greece had to face was the lack of efficient cooperation among the different agencies, the fragmentation of responsibilities, a complex legislation, bureaucracy and inertia. </w:t>
      </w:r>
      <w:r w:rsidR="00822681">
        <w:rPr>
          <w:lang w:val="fr-FR"/>
        </w:rPr>
        <w:t>Τ</w:t>
      </w:r>
      <w:r w:rsidR="00822681">
        <w:rPr>
          <w:lang w:val="en-GB"/>
        </w:rPr>
        <w:t xml:space="preserve">he Government of the Hellenic Republic has gradually created a solid preventive, protective and prosecutorial framework. </w:t>
      </w:r>
      <w:smartTag w:uri="urn:schemas-microsoft-com:office:smarttags" w:element="country-region">
        <w:smartTag w:uri="urn:schemas-microsoft-com:office:smarttags" w:element="place">
          <w:r w:rsidR="00822681">
            <w:rPr>
              <w:lang w:val="en-GB"/>
            </w:rPr>
            <w:t>Greece</w:t>
          </w:r>
        </w:smartTag>
      </w:smartTag>
      <w:r w:rsidR="00822681">
        <w:rPr>
          <w:lang w:val="en-GB"/>
        </w:rPr>
        <w:t xml:space="preserve"> has enhanced efforts to respond to the problem, including legislative reforms, inter-agency coordination among law enforcement, prosecution and judiciary, extensive protection to the victims, awareness raising campaigns, and systematic prosecution of criminal networks exploiting trafficked victims. </w:t>
      </w:r>
      <w:smartTag w:uri="urn:schemas-microsoft-com:office:smarttags" w:element="country-region">
        <w:smartTag w:uri="urn:schemas-microsoft-com:office:smarttags" w:element="place">
          <w:r w:rsidR="00822681">
            <w:rPr>
              <w:lang w:val="en-GB"/>
            </w:rPr>
            <w:t>Greece</w:t>
          </w:r>
        </w:smartTag>
      </w:smartTag>
      <w:r w:rsidR="00822681">
        <w:rPr>
          <w:lang w:val="en-GB"/>
        </w:rPr>
        <w:t xml:space="preserve"> has also strengthened cooperation with relevant bodies within major international organisations and countries of origin, transit and destination, with encouraging results. </w:t>
      </w:r>
    </w:p>
    <w:p w:rsidR="00822681" w:rsidRDefault="00822681">
      <w:pPr>
        <w:jc w:val="both"/>
        <w:rPr>
          <w:lang w:val="en-US"/>
        </w:rPr>
      </w:pPr>
    </w:p>
    <w:p w:rsidR="00115FC9" w:rsidRPr="00126D41" w:rsidRDefault="00E45D1E" w:rsidP="00E45D1E">
      <w:pPr>
        <w:tabs>
          <w:tab w:val="num" w:pos="0"/>
        </w:tabs>
        <w:jc w:val="both"/>
        <w:rPr>
          <w:lang w:val="en-US"/>
        </w:rPr>
      </w:pPr>
      <w:r>
        <w:rPr>
          <w:lang w:val="en-US"/>
        </w:rPr>
        <w:t>151.</w:t>
      </w:r>
      <w:r>
        <w:rPr>
          <w:lang w:val="en-US"/>
        </w:rPr>
        <w:tab/>
      </w:r>
      <w:r w:rsidR="00115FC9" w:rsidRPr="00126D41">
        <w:rPr>
          <w:lang w:val="en-US"/>
        </w:rPr>
        <w:t>A  National Coordination Mechanism (NCM), composed of representatives of all competent Ministries as well as the IOM, has been shaped</w:t>
      </w:r>
      <w:r w:rsidR="00115FC9">
        <w:rPr>
          <w:lang w:val="en-US"/>
        </w:rPr>
        <w:t xml:space="preserve"> and it is headed by the Ministry of Foreign Affairs</w:t>
      </w:r>
      <w:r w:rsidR="00115FC9" w:rsidRPr="00126D41">
        <w:rPr>
          <w:lang w:val="en-US"/>
        </w:rPr>
        <w:t>. The broader National and European Planning was presented in October 2010</w:t>
      </w:r>
      <w:r w:rsidR="00115FC9">
        <w:rPr>
          <w:lang w:val="en-US"/>
        </w:rPr>
        <w:t xml:space="preserve">. </w:t>
      </w:r>
      <w:r w:rsidR="00115FC9">
        <w:rPr>
          <w:lang w:val="en-GB"/>
        </w:rPr>
        <w:t xml:space="preserve">The NCM </w:t>
      </w:r>
      <w:r w:rsidR="00115FC9" w:rsidRPr="000413F4">
        <w:rPr>
          <w:lang w:val="en-GB"/>
        </w:rPr>
        <w:t xml:space="preserve"> will continue focusing on a four-pronged Action Plan </w:t>
      </w:r>
      <w:r w:rsidR="00115FC9" w:rsidRPr="00126D41">
        <w:rPr>
          <w:lang w:val="en-US"/>
        </w:rPr>
        <w:t xml:space="preserve">based on four pillars: </w:t>
      </w:r>
      <w:r w:rsidR="00115FC9">
        <w:rPr>
          <w:lang w:val="en-US"/>
        </w:rPr>
        <w:t>p</w:t>
      </w:r>
      <w:r w:rsidR="00115FC9" w:rsidRPr="00126D41">
        <w:rPr>
          <w:lang w:val="en-US"/>
        </w:rPr>
        <w:t xml:space="preserve">rosecution of the traffickers, </w:t>
      </w:r>
      <w:r w:rsidR="00115FC9">
        <w:rPr>
          <w:lang w:val="en-US"/>
        </w:rPr>
        <w:t>p</w:t>
      </w:r>
      <w:r w:rsidR="00115FC9" w:rsidRPr="00126D41">
        <w:rPr>
          <w:lang w:val="en-US"/>
        </w:rPr>
        <w:t>rotection of the victims</w:t>
      </w:r>
      <w:r w:rsidR="00115FC9">
        <w:rPr>
          <w:lang w:val="en-US"/>
        </w:rPr>
        <w:t>, p</w:t>
      </w:r>
      <w:r w:rsidR="00115FC9" w:rsidRPr="00126D41">
        <w:rPr>
          <w:lang w:val="en-US"/>
        </w:rPr>
        <w:t>revention, in particular through addressing the issue of demand</w:t>
      </w:r>
      <w:r w:rsidR="00115FC9" w:rsidRPr="004D172B">
        <w:rPr>
          <w:lang w:val="en-GB"/>
        </w:rPr>
        <w:t xml:space="preserve"> </w:t>
      </w:r>
      <w:r w:rsidR="00115FC9">
        <w:rPr>
          <w:lang w:val="en-US"/>
        </w:rPr>
        <w:t xml:space="preserve">and </w:t>
      </w:r>
      <w:r w:rsidR="00115FC9">
        <w:rPr>
          <w:lang w:val="en-GB"/>
        </w:rPr>
        <w:t>specialized t</w:t>
      </w:r>
      <w:r w:rsidR="00115FC9" w:rsidRPr="004D172B">
        <w:rPr>
          <w:lang w:val="en-GB"/>
        </w:rPr>
        <w:t xml:space="preserve">raining </w:t>
      </w:r>
      <w:r w:rsidR="00115FC9">
        <w:rPr>
          <w:lang w:val="en-GB"/>
        </w:rPr>
        <w:t>and</w:t>
      </w:r>
      <w:r w:rsidR="00115FC9" w:rsidRPr="004D172B">
        <w:rPr>
          <w:lang w:val="en-GB"/>
        </w:rPr>
        <w:t xml:space="preserve"> </w:t>
      </w:r>
      <w:r w:rsidR="00115FC9">
        <w:rPr>
          <w:lang w:val="en-GB"/>
        </w:rPr>
        <w:t>awareness-r</w:t>
      </w:r>
      <w:r w:rsidR="00115FC9" w:rsidRPr="004D172B">
        <w:rPr>
          <w:lang w:val="en-GB"/>
        </w:rPr>
        <w:t xml:space="preserve">aising </w:t>
      </w:r>
      <w:r w:rsidR="00115FC9">
        <w:rPr>
          <w:lang w:val="en-GB"/>
        </w:rPr>
        <w:t>c</w:t>
      </w:r>
      <w:r w:rsidR="00115FC9" w:rsidRPr="004D172B">
        <w:rPr>
          <w:lang w:val="en-GB"/>
        </w:rPr>
        <w:t>ampaigns</w:t>
      </w:r>
      <w:r w:rsidR="00115FC9">
        <w:rPr>
          <w:lang w:val="en-GB"/>
        </w:rPr>
        <w:t>, p</w:t>
      </w:r>
      <w:r w:rsidR="00115FC9" w:rsidRPr="00126D41">
        <w:rPr>
          <w:lang w:val="en-US"/>
        </w:rPr>
        <w:t xml:space="preserve">artnership among all relevant stakeholders, including NGOs. </w:t>
      </w:r>
    </w:p>
    <w:p w:rsidR="00822681" w:rsidRPr="00115FC9" w:rsidRDefault="00822681">
      <w:pPr>
        <w:jc w:val="both"/>
        <w:rPr>
          <w:lang w:val="en-US"/>
        </w:rPr>
      </w:pPr>
    </w:p>
    <w:p w:rsidR="00822681" w:rsidRDefault="00E45D1E">
      <w:pPr>
        <w:jc w:val="both"/>
        <w:rPr>
          <w:lang w:val="en-GB"/>
        </w:rPr>
      </w:pPr>
      <w:r>
        <w:rPr>
          <w:lang w:val="en-GB"/>
        </w:rPr>
        <w:t>152.</w:t>
      </w:r>
      <w:r>
        <w:rPr>
          <w:lang w:val="en-GB"/>
        </w:rPr>
        <w:tab/>
      </w:r>
      <w:r w:rsidR="00822681">
        <w:rPr>
          <w:lang w:val="en-GB"/>
        </w:rPr>
        <w:t xml:space="preserve">The main areas of the NCM are the following: monitoring the phenomenon; establishing databases/ collection of statistics; screening procedures to identify victims; establishment of shelters; support to victims including legal assistance, granting of residence and work permits, voluntary repatriation; support in the countries of origin; educating police forces; educating law enforcement and judicial authorities; awareness raising campaigns. </w:t>
      </w:r>
    </w:p>
    <w:p w:rsidR="00822681" w:rsidRDefault="00822681">
      <w:pPr>
        <w:jc w:val="both"/>
        <w:rPr>
          <w:lang w:val="en-GB"/>
        </w:rPr>
      </w:pPr>
    </w:p>
    <w:p w:rsidR="00822681" w:rsidRDefault="00E45D1E">
      <w:pPr>
        <w:jc w:val="both"/>
        <w:rPr>
          <w:lang w:val="en-US"/>
        </w:rPr>
      </w:pPr>
      <w:r>
        <w:rPr>
          <w:lang w:val="en-US"/>
        </w:rPr>
        <w:t>153.</w:t>
      </w:r>
      <w:r>
        <w:rPr>
          <w:lang w:val="en-US"/>
        </w:rPr>
        <w:tab/>
      </w:r>
      <w:r w:rsidR="00822681">
        <w:rPr>
          <w:lang w:val="en-US"/>
        </w:rPr>
        <w:t xml:space="preserve">In 2010, Greece ratified the United Nations Convention against Transnational Organized Crime and its Protocols – the “Palermo Convention” – and has signed the Council of Europe Convention on Action against Trafficking in Human Beings. </w:t>
      </w:r>
    </w:p>
    <w:p w:rsidR="00534041" w:rsidRDefault="00534041">
      <w:pPr>
        <w:jc w:val="both"/>
        <w:rPr>
          <w:lang w:val="en-US"/>
        </w:rPr>
      </w:pPr>
    </w:p>
    <w:p w:rsidR="00822681" w:rsidRDefault="00E45D1E">
      <w:pPr>
        <w:jc w:val="both"/>
        <w:rPr>
          <w:lang w:val="en-US"/>
        </w:rPr>
      </w:pPr>
      <w:r>
        <w:rPr>
          <w:lang w:val="en-US"/>
        </w:rPr>
        <w:t>154.</w:t>
      </w:r>
      <w:r>
        <w:rPr>
          <w:lang w:val="en-US"/>
        </w:rPr>
        <w:tab/>
      </w:r>
      <w:r w:rsidR="00822681">
        <w:rPr>
          <w:lang w:val="en-US"/>
        </w:rPr>
        <w:t xml:space="preserve">In  December  2005,  a  Memorandum  of  Cooperation  has  been  signed  between  the competent Ministries, IOM (International Organization for Migration) and 12 NGOs, which  establishes a coordination framework of the interested stakeholders. </w:t>
      </w:r>
    </w:p>
    <w:p w:rsidR="00B37AE6" w:rsidRPr="00B446CD" w:rsidRDefault="00B37AE6">
      <w:pPr>
        <w:jc w:val="both"/>
        <w:rPr>
          <w:lang w:val="en-GB"/>
        </w:rPr>
      </w:pPr>
    </w:p>
    <w:p w:rsidR="00822681" w:rsidRDefault="00822681">
      <w:pPr>
        <w:jc w:val="both"/>
        <w:rPr>
          <w:u w:val="single"/>
          <w:lang w:val="en-US"/>
        </w:rPr>
      </w:pPr>
      <w:r>
        <w:rPr>
          <w:u w:val="single"/>
          <w:lang w:val="en-US"/>
        </w:rPr>
        <w:t>Protection of the victims of trafficking</w:t>
      </w:r>
    </w:p>
    <w:p w:rsidR="00822681" w:rsidRDefault="00822681">
      <w:pPr>
        <w:jc w:val="both"/>
        <w:rPr>
          <w:lang w:val="en-US"/>
        </w:rPr>
      </w:pPr>
    </w:p>
    <w:p w:rsidR="00822681" w:rsidRDefault="00E45D1E">
      <w:pPr>
        <w:jc w:val="both"/>
        <w:rPr>
          <w:lang w:val="en-US"/>
        </w:rPr>
      </w:pPr>
      <w:r>
        <w:rPr>
          <w:lang w:val="en-US"/>
        </w:rPr>
        <w:t>155.</w:t>
      </w:r>
      <w:r>
        <w:rPr>
          <w:lang w:val="en-US"/>
        </w:rPr>
        <w:tab/>
      </w:r>
      <w:r w:rsidR="00822681">
        <w:rPr>
          <w:lang w:val="en-US"/>
        </w:rPr>
        <w:t xml:space="preserve">Presidential Decree 233/2003 determines the agencies, the measures and the ways and means of providing assistance to victims of trafficking, including in the fields of housing, healthcare and legal assistance. The status and situation of victims was further improved by Law 3386/2005, which foresees the issue of a residence permit, renewable under certain circumstances, to trafficking victims who cooperate with the competent authorities and prohibits expulsion during the “reflection period”. Law 3875/2010 (ratifying the UN Convention against Transnational Organized Crime and its Protocols) extends the scope of protective legislative measures to the victims of smuggling of immigrants and provides for the possibility of granting residence permits on humanitarian grounds, under certain circumstances, also to victims of </w:t>
      </w:r>
      <w:r w:rsidR="00822681">
        <w:rPr>
          <w:lang w:val="en-US"/>
        </w:rPr>
        <w:lastRenderedPageBreak/>
        <w:t xml:space="preserve">trafficking who do not cooperate with the authorities due to the possible use of threats by perpetrators. It is to be noted that the recommendations of the National Commission for Human Rights have contributed to the strengthening of the protection framework. During the period 2006-first quarter of 2010, stay permits have been granted to 102 victims of trafficking. </w:t>
      </w:r>
    </w:p>
    <w:p w:rsidR="00822681" w:rsidRDefault="00822681">
      <w:pPr>
        <w:jc w:val="both"/>
        <w:rPr>
          <w:lang w:val="en-US"/>
        </w:rPr>
      </w:pPr>
    </w:p>
    <w:p w:rsidR="00115FC9" w:rsidRDefault="00E45D1E" w:rsidP="00115FC9">
      <w:pPr>
        <w:jc w:val="both"/>
        <w:rPr>
          <w:lang w:val="en-US"/>
        </w:rPr>
      </w:pPr>
      <w:r>
        <w:rPr>
          <w:lang w:val="en-US"/>
        </w:rPr>
        <w:t>156.</w:t>
      </w:r>
      <w:r>
        <w:rPr>
          <w:lang w:val="en-US"/>
        </w:rPr>
        <w:tab/>
      </w:r>
      <w:r w:rsidR="00115FC9" w:rsidRPr="009F29A3">
        <w:rPr>
          <w:lang w:val="en-US"/>
        </w:rPr>
        <w:t xml:space="preserve">Furthermore, following a recent amendment of law 3386/2005 by law </w:t>
      </w:r>
      <w:r w:rsidR="00115FC9" w:rsidRPr="002662BE">
        <w:rPr>
          <w:lang w:val="en-US"/>
        </w:rPr>
        <w:t>3907/201</w:t>
      </w:r>
      <w:r w:rsidR="00115FC9" w:rsidRPr="002662BE">
        <w:rPr>
          <w:lang w:val="en-GB"/>
        </w:rPr>
        <w:t>1</w:t>
      </w:r>
      <w:r w:rsidR="00534041">
        <w:rPr>
          <w:lang w:val="en-US"/>
        </w:rPr>
        <w:t xml:space="preserve">, </w:t>
      </w:r>
      <w:r w:rsidR="00DD7315" w:rsidRPr="009F29A3">
        <w:rPr>
          <w:lang w:val="en-US"/>
        </w:rPr>
        <w:t xml:space="preserve">recognized </w:t>
      </w:r>
      <w:r w:rsidR="00115FC9" w:rsidRPr="009F29A3">
        <w:rPr>
          <w:lang w:val="en-US"/>
        </w:rPr>
        <w:t>victims of trafficking who do not cooperate with the authorities are also entitled to a residence permit on humanitarian grounds</w:t>
      </w:r>
      <w:r w:rsidR="00DD7315">
        <w:rPr>
          <w:lang w:val="en-US"/>
        </w:rPr>
        <w:t xml:space="preserve">. </w:t>
      </w:r>
      <w:r w:rsidR="00115FC9" w:rsidRPr="009F29A3">
        <w:rPr>
          <w:lang w:val="en-US"/>
        </w:rPr>
        <w:t xml:space="preserve">According to the same law, special care is provided </w:t>
      </w:r>
      <w:r w:rsidR="00DD7315">
        <w:rPr>
          <w:lang w:val="en-US"/>
        </w:rPr>
        <w:t>to</w:t>
      </w:r>
      <w:r w:rsidR="00115FC9" w:rsidRPr="009F29A3">
        <w:rPr>
          <w:color w:val="000000"/>
          <w:lang w:val="en-GB"/>
        </w:rPr>
        <w:t xml:space="preserve"> minors-victims of trafficking in human beings or smuggling of migrants</w:t>
      </w:r>
      <w:r w:rsidR="00115FC9" w:rsidRPr="009F29A3">
        <w:rPr>
          <w:lang w:val="en-GB"/>
        </w:rPr>
        <w:t xml:space="preserve"> who are </w:t>
      </w:r>
      <w:r w:rsidR="00115FC9" w:rsidRPr="009F29A3">
        <w:rPr>
          <w:lang w:val="en-US"/>
        </w:rPr>
        <w:t>unaccompanied</w:t>
      </w:r>
      <w:r w:rsidR="00115FC9" w:rsidRPr="009F29A3">
        <w:rPr>
          <w:lang w:val="en-GB"/>
        </w:rPr>
        <w:t xml:space="preserve"> minors. Thus the competent authorities should take the </w:t>
      </w:r>
      <w:r w:rsidR="00115FC9" w:rsidRPr="009F29A3">
        <w:rPr>
          <w:lang w:val="en-US"/>
        </w:rPr>
        <w:t xml:space="preserve">necessary measures </w:t>
      </w:r>
      <w:r w:rsidR="00115FC9" w:rsidRPr="009F29A3">
        <w:rPr>
          <w:lang w:val="en-GB"/>
        </w:rPr>
        <w:t xml:space="preserve">in order to </w:t>
      </w:r>
      <w:r w:rsidR="00115FC9" w:rsidRPr="009F29A3">
        <w:rPr>
          <w:lang w:val="en-US"/>
        </w:rPr>
        <w:t>establish</w:t>
      </w:r>
      <w:r w:rsidR="00115FC9" w:rsidRPr="009F29A3">
        <w:rPr>
          <w:lang w:val="en-GB"/>
        </w:rPr>
        <w:t xml:space="preserve"> their identity and nationality and the fact that they are unaccompanied. They also make </w:t>
      </w:r>
      <w:r w:rsidR="00115FC9" w:rsidRPr="009F29A3">
        <w:rPr>
          <w:lang w:val="en-US"/>
        </w:rPr>
        <w:t>every</w:t>
      </w:r>
      <w:r w:rsidR="00115FC9" w:rsidRPr="009F29A3">
        <w:rPr>
          <w:lang w:val="en-GB"/>
        </w:rPr>
        <w:t xml:space="preserve"> effort </w:t>
      </w:r>
      <w:r w:rsidR="00115FC9" w:rsidRPr="009F29A3">
        <w:rPr>
          <w:lang w:val="en-US"/>
        </w:rPr>
        <w:t>to locate</w:t>
      </w:r>
      <w:r w:rsidR="00115FC9" w:rsidRPr="009F29A3">
        <w:rPr>
          <w:lang w:val="en-GB"/>
        </w:rPr>
        <w:t xml:space="preserve"> their families as </w:t>
      </w:r>
      <w:r w:rsidR="00115FC9" w:rsidRPr="009F29A3">
        <w:rPr>
          <w:lang w:val="en-US"/>
        </w:rPr>
        <w:t>quickly</w:t>
      </w:r>
      <w:r w:rsidR="00115FC9" w:rsidRPr="009F29A3">
        <w:rPr>
          <w:lang w:val="en-GB"/>
        </w:rPr>
        <w:t xml:space="preserve"> as possible and take the necessary </w:t>
      </w:r>
      <w:r w:rsidR="00115FC9" w:rsidRPr="009F29A3">
        <w:rPr>
          <w:lang w:val="en-US"/>
        </w:rPr>
        <w:t>steps</w:t>
      </w:r>
      <w:r w:rsidR="00115FC9" w:rsidRPr="009F29A3">
        <w:rPr>
          <w:lang w:val="en-GB"/>
        </w:rPr>
        <w:t xml:space="preserve"> immediately </w:t>
      </w:r>
      <w:r w:rsidR="00115FC9" w:rsidRPr="009F29A3">
        <w:rPr>
          <w:lang w:val="en-US"/>
        </w:rPr>
        <w:t>to ensure</w:t>
      </w:r>
      <w:r w:rsidR="00115FC9" w:rsidRPr="009F29A3">
        <w:rPr>
          <w:lang w:val="en-GB"/>
        </w:rPr>
        <w:t xml:space="preserve"> their legal representation </w:t>
      </w:r>
      <w:r w:rsidR="00115FC9" w:rsidRPr="009F29A3">
        <w:rPr>
          <w:lang w:val="en-US"/>
        </w:rPr>
        <w:t>including representation in</w:t>
      </w:r>
      <w:r w:rsidR="00115FC9" w:rsidRPr="009F29A3">
        <w:rPr>
          <w:lang w:val="en-GB"/>
        </w:rPr>
        <w:t xml:space="preserve"> criminal</w:t>
      </w:r>
      <w:r w:rsidR="00115FC9">
        <w:rPr>
          <w:lang w:val="en-GB"/>
        </w:rPr>
        <w:t xml:space="preserve"> procedures</w:t>
      </w:r>
      <w:r w:rsidR="00115FC9" w:rsidRPr="009F29A3">
        <w:rPr>
          <w:lang w:val="en-GB"/>
        </w:rPr>
        <w:t>.</w:t>
      </w:r>
      <w:r w:rsidR="00115FC9">
        <w:rPr>
          <w:lang w:val="en-US"/>
        </w:rPr>
        <w:t xml:space="preserve"> </w:t>
      </w:r>
      <w:r w:rsidR="00115FC9" w:rsidRPr="009F29A3">
        <w:rPr>
          <w:lang w:val="en-GB"/>
        </w:rPr>
        <w:t>T</w:t>
      </w:r>
      <w:r w:rsidR="00115FC9">
        <w:rPr>
          <w:lang w:val="en-GB"/>
        </w:rPr>
        <w:t>hird country nationals, recogniz</w:t>
      </w:r>
      <w:r w:rsidR="00115FC9" w:rsidRPr="009F29A3">
        <w:rPr>
          <w:lang w:val="en-GB"/>
        </w:rPr>
        <w:t xml:space="preserve">ed as victims of trafficking or victims of smuggling, are granted </w:t>
      </w:r>
      <w:r w:rsidR="00115FC9" w:rsidRPr="009F29A3">
        <w:rPr>
          <w:bCs/>
          <w:color w:val="000000"/>
          <w:lang w:val="en-US"/>
        </w:rPr>
        <w:t xml:space="preserve">a residence permit </w:t>
      </w:r>
      <w:r w:rsidR="00115FC9" w:rsidRPr="009F29A3">
        <w:rPr>
          <w:lang w:val="en-US"/>
        </w:rPr>
        <w:t>upon decisi</w:t>
      </w:r>
      <w:r w:rsidR="00115FC9">
        <w:rPr>
          <w:lang w:val="en-US"/>
        </w:rPr>
        <w:t xml:space="preserve">on of the Minister of Interior </w:t>
      </w:r>
      <w:r w:rsidR="00115FC9" w:rsidRPr="009F29A3">
        <w:rPr>
          <w:bCs/>
          <w:color w:val="000000"/>
          <w:lang w:val="en-US"/>
        </w:rPr>
        <w:t>without any obligation to pay the fee. This permit is of one year duration and renewable</w:t>
      </w:r>
      <w:r w:rsidR="00115FC9" w:rsidRPr="009F29A3">
        <w:rPr>
          <w:lang/>
        </w:rPr>
        <w:t xml:space="preserve"> if the victim continues to meet the same conditions under which the permit was submitted. For </w:t>
      </w:r>
      <w:r w:rsidR="00115FC9" w:rsidRPr="009F29A3">
        <w:rPr>
          <w:lang w:val="en-US"/>
        </w:rPr>
        <w:t>victims of trafficking who do not cooperate with the authorities</w:t>
      </w:r>
      <w:r w:rsidR="00115FC9" w:rsidRPr="009F29A3">
        <w:rPr>
          <w:lang/>
        </w:rPr>
        <w:t xml:space="preserve"> </w:t>
      </w:r>
      <w:r w:rsidR="00115FC9" w:rsidRPr="009F29A3">
        <w:rPr>
          <w:lang w:val="en-GB"/>
        </w:rPr>
        <w:t xml:space="preserve">this permit is renewable </w:t>
      </w:r>
      <w:r w:rsidR="00115FC9" w:rsidRPr="009F29A3">
        <w:rPr>
          <w:lang/>
        </w:rPr>
        <w:t>until the issuing of a court decision</w:t>
      </w:r>
      <w:r w:rsidR="00115FC9" w:rsidRPr="009F29A3">
        <w:rPr>
          <w:lang w:val="en-US"/>
        </w:rPr>
        <w:t>.</w:t>
      </w:r>
      <w:r w:rsidR="00115FC9" w:rsidRPr="009F29A3">
        <w:rPr>
          <w:lang/>
        </w:rPr>
        <w:t xml:space="preserve"> </w:t>
      </w:r>
      <w:r w:rsidR="00115FC9" w:rsidRPr="009F29A3">
        <w:rPr>
          <w:lang w:val="en-GB"/>
        </w:rPr>
        <w:t xml:space="preserve">The residence permit for victims of trafficking or </w:t>
      </w:r>
      <w:r w:rsidR="00115FC9" w:rsidRPr="009F29A3">
        <w:rPr>
          <w:lang w:val="en-US"/>
        </w:rPr>
        <w:t>of migrant smuggling</w:t>
      </w:r>
      <w:r w:rsidR="00115FC9" w:rsidRPr="009F29A3">
        <w:rPr>
          <w:lang w:val="en-GB"/>
        </w:rPr>
        <w:t xml:space="preserve"> </w:t>
      </w:r>
      <w:r w:rsidR="00115FC9">
        <w:rPr>
          <w:lang w:val="en-GB"/>
        </w:rPr>
        <w:t>ensures</w:t>
      </w:r>
      <w:r w:rsidR="00115FC9" w:rsidRPr="009F29A3">
        <w:rPr>
          <w:lang w:val="en-GB"/>
        </w:rPr>
        <w:t xml:space="preserve"> the right to health care and access to the </w:t>
      </w:r>
      <w:r w:rsidR="00115FC9" w:rsidRPr="009F29A3">
        <w:rPr>
          <w:bCs/>
          <w:color w:val="000000"/>
          <w:lang w:val="en-GB"/>
        </w:rPr>
        <w:t>psychological support services</w:t>
      </w:r>
      <w:r w:rsidR="00115FC9" w:rsidRPr="009F29A3">
        <w:rPr>
          <w:lang w:val="en-GB"/>
        </w:rPr>
        <w:t>, access to the labor market, only for the period of its duration, as well as to the conditions of vocational training and education, according to the law.</w:t>
      </w:r>
      <w:r w:rsidR="00115FC9">
        <w:rPr>
          <w:lang w:val="en-US"/>
        </w:rPr>
        <w:t xml:space="preserve"> </w:t>
      </w:r>
      <w:r w:rsidR="00115FC9" w:rsidRPr="009F29A3">
        <w:rPr>
          <w:lang w:val="en-US"/>
        </w:rPr>
        <w:t>It is here worth mentioning, that</w:t>
      </w:r>
      <w:r w:rsidR="00115FC9" w:rsidRPr="009F29A3">
        <w:rPr>
          <w:rFonts w:eastAsia="Batang"/>
          <w:bCs/>
          <w:lang/>
        </w:rPr>
        <w:t xml:space="preserve"> the above mentioned residence permit may be renewed</w:t>
      </w:r>
      <w:r w:rsidR="00115FC9" w:rsidRPr="009F29A3">
        <w:rPr>
          <w:lang w:val="en-US"/>
        </w:rPr>
        <w:t xml:space="preserve"> for one of the grounds </w:t>
      </w:r>
      <w:r w:rsidR="00115FC9">
        <w:rPr>
          <w:lang w:val="en-US"/>
        </w:rPr>
        <w:t xml:space="preserve">provided for </w:t>
      </w:r>
      <w:r w:rsidR="00115FC9" w:rsidRPr="009F29A3">
        <w:rPr>
          <w:lang w:val="en-US"/>
        </w:rPr>
        <w:t>the migration law by decision of the General Secretariat of the relevant Region.</w:t>
      </w:r>
    </w:p>
    <w:p w:rsidR="00115FC9" w:rsidRDefault="00115FC9" w:rsidP="00115FC9">
      <w:pPr>
        <w:jc w:val="both"/>
        <w:rPr>
          <w:lang w:val="en-US"/>
        </w:rPr>
      </w:pPr>
    </w:p>
    <w:p w:rsidR="00115FC9" w:rsidRPr="00D305AD" w:rsidRDefault="00E45D1E" w:rsidP="00115FC9">
      <w:pPr>
        <w:jc w:val="both"/>
        <w:rPr>
          <w:lang w:val="en-US"/>
        </w:rPr>
      </w:pPr>
      <w:r>
        <w:rPr>
          <w:lang w:val="en-US"/>
        </w:rPr>
        <w:t>157.</w:t>
      </w:r>
      <w:r>
        <w:rPr>
          <w:lang w:val="en-US"/>
        </w:rPr>
        <w:tab/>
        <w:t>In addition</w:t>
      </w:r>
      <w:r w:rsidR="00DD7315">
        <w:rPr>
          <w:lang w:val="en-US"/>
        </w:rPr>
        <w:t>,</w:t>
      </w:r>
      <w:r w:rsidR="00115FC9">
        <w:rPr>
          <w:lang w:val="en-US"/>
        </w:rPr>
        <w:t xml:space="preserve"> a residence permit for humanitarian reasons is being granted to adults, victims of domestic violence, or not able to handle their own affairs because of health problems or minors who need to be </w:t>
      </w:r>
      <w:r w:rsidR="00115FC9">
        <w:rPr>
          <w:color w:val="FF0000"/>
          <w:lang w:val="en-US"/>
        </w:rPr>
        <w:t xml:space="preserve"> </w:t>
      </w:r>
      <w:r w:rsidR="00115FC9" w:rsidRPr="00DD7315">
        <w:rPr>
          <w:lang w:val="en-US"/>
        </w:rPr>
        <w:t>under p</w:t>
      </w:r>
      <w:r w:rsidR="00115FC9">
        <w:rPr>
          <w:lang w:val="en-US"/>
        </w:rPr>
        <w:t xml:space="preserve">rotection measures and reside in boarding houses or charity institutions (art.44 par.1 c of law 3386/05). </w:t>
      </w:r>
    </w:p>
    <w:p w:rsidR="00822681" w:rsidRDefault="00822681">
      <w:pPr>
        <w:jc w:val="both"/>
        <w:rPr>
          <w:lang w:val="en-US"/>
        </w:rPr>
      </w:pPr>
    </w:p>
    <w:p w:rsidR="00822681" w:rsidRDefault="00E45D1E">
      <w:pPr>
        <w:jc w:val="both"/>
        <w:rPr>
          <w:lang w:val="en-US"/>
        </w:rPr>
      </w:pPr>
      <w:r>
        <w:rPr>
          <w:lang w:val="en-US"/>
        </w:rPr>
        <w:t>158.</w:t>
      </w:r>
      <w:r>
        <w:rPr>
          <w:lang w:val="en-US"/>
        </w:rPr>
        <w:tab/>
      </w:r>
      <w:r w:rsidR="00822681">
        <w:rPr>
          <w:lang w:val="en-US"/>
        </w:rPr>
        <w:t>Specific actions have also been implemented by the General Secretariat for Gender Equality.</w:t>
      </w:r>
    </w:p>
    <w:p w:rsidR="00822681" w:rsidRDefault="00822681">
      <w:pPr>
        <w:jc w:val="both"/>
        <w:rPr>
          <w:lang w:val="en-US"/>
        </w:rPr>
      </w:pPr>
    </w:p>
    <w:p w:rsidR="00822681" w:rsidRDefault="00E45D1E">
      <w:pPr>
        <w:jc w:val="both"/>
        <w:rPr>
          <w:lang w:val="en-US"/>
        </w:rPr>
      </w:pPr>
      <w:r>
        <w:rPr>
          <w:lang w:val="en-US"/>
        </w:rPr>
        <w:t>159.</w:t>
      </w:r>
      <w:r>
        <w:rPr>
          <w:lang w:val="en-US"/>
        </w:rPr>
        <w:tab/>
      </w:r>
      <w:r w:rsidR="00822681">
        <w:rPr>
          <w:lang w:val="en-US"/>
        </w:rPr>
        <w:t>Finally, assistance to victims is provided through the National Center for Social Solidarity of the Ministry of Health and Social Solidarity, which offers services such as counseling, psychological support, temporary hosting in shelters, a hotline etc. Programs have also been implemented by the Ministry of Labor and Social Security within the scope of the EU EQUAL Initiative.</w:t>
      </w:r>
    </w:p>
    <w:p w:rsidR="00822681" w:rsidRDefault="00822681">
      <w:pPr>
        <w:jc w:val="both"/>
        <w:rPr>
          <w:lang w:val="en-US"/>
        </w:rPr>
      </w:pPr>
    </w:p>
    <w:p w:rsidR="00822681" w:rsidRDefault="00822681">
      <w:pPr>
        <w:jc w:val="both"/>
        <w:rPr>
          <w:u w:val="single"/>
          <w:lang w:val="en-US"/>
        </w:rPr>
      </w:pPr>
      <w:r>
        <w:rPr>
          <w:u w:val="single"/>
          <w:lang w:val="en-US"/>
        </w:rPr>
        <w:t>Police action</w:t>
      </w:r>
    </w:p>
    <w:p w:rsidR="00822681" w:rsidRDefault="00822681">
      <w:pPr>
        <w:jc w:val="both"/>
        <w:rPr>
          <w:lang w:val="en-US"/>
        </w:rPr>
      </w:pPr>
    </w:p>
    <w:p w:rsidR="00822681" w:rsidRDefault="00E45D1E">
      <w:pPr>
        <w:jc w:val="both"/>
        <w:rPr>
          <w:lang w:val="en-US"/>
        </w:rPr>
      </w:pPr>
      <w:r>
        <w:rPr>
          <w:lang w:val="en-US"/>
        </w:rPr>
        <w:t>160.</w:t>
      </w:r>
      <w:r>
        <w:rPr>
          <w:lang w:val="en-US"/>
        </w:rPr>
        <w:tab/>
      </w:r>
      <w:r w:rsidR="00822681">
        <w:rPr>
          <w:lang w:val="en-US"/>
        </w:rPr>
        <w:t xml:space="preserve">At the operational level, police action against traffickers has intensified and has yielded positive results. Seventeen (17) specialized anti-trafficking services are operating within the Hellenic Police, both at the central and the regional levels. Other actions include staff education and training, international cooperation, in particular with neighboring countries, exchange of information on organized crime (Interpol, Europol, SECI Center, EU Member States, neighboring and other third states), </w:t>
      </w:r>
      <w:r w:rsidR="00822681">
        <w:rPr>
          <w:lang w:val="en-US"/>
        </w:rPr>
        <w:lastRenderedPageBreak/>
        <w:t xml:space="preserve">cooperation with foreign diplomatic authorities, etc. A Memorandum on Police Action and Best Practices for handling human trafficking cases has been sent to police services. Moreover, the Operational – Interagency Action Plan “Ilaeira” concerning the fight against trafficking in women and children is an important initiative which combines operational (police - judicial) action and the provision of assistance and protection to victims. </w:t>
      </w:r>
    </w:p>
    <w:p w:rsidR="00822681" w:rsidRDefault="00822681">
      <w:pPr>
        <w:jc w:val="both"/>
        <w:rPr>
          <w:lang w:val="en-US"/>
        </w:rPr>
      </w:pPr>
    </w:p>
    <w:p w:rsidR="00822681" w:rsidRDefault="00E45D1E">
      <w:pPr>
        <w:jc w:val="both"/>
        <w:rPr>
          <w:lang w:val="en-US"/>
        </w:rPr>
      </w:pPr>
      <w:r>
        <w:rPr>
          <w:lang w:val="en-US"/>
        </w:rPr>
        <w:t>161.</w:t>
      </w:r>
      <w:r>
        <w:rPr>
          <w:lang w:val="en-US"/>
        </w:rPr>
        <w:tab/>
      </w:r>
      <w:r w:rsidR="00822681">
        <w:rPr>
          <w:lang w:val="en-US"/>
        </w:rPr>
        <w:t xml:space="preserve">The Police Academy has already included the subject-matter of trafficking in human beings in all its </w:t>
      </w:r>
      <w:r w:rsidR="008B167E">
        <w:rPr>
          <w:lang w:val="en-US"/>
        </w:rPr>
        <w:t>grades. Police personnel attend</w:t>
      </w:r>
      <w:r w:rsidR="00822681">
        <w:rPr>
          <w:lang w:val="en-US"/>
        </w:rPr>
        <w:t xml:space="preserve"> vocational seminars and conferences organized by jointly competent organizations and NGOs on subjects related to victim identification, dealing with victims, and, more generally, on issues pertaining to </w:t>
      </w:r>
      <w:r w:rsidR="008B167E">
        <w:rPr>
          <w:lang w:val="en-US"/>
        </w:rPr>
        <w:t>fruitful</w:t>
      </w:r>
      <w:r w:rsidR="00822681">
        <w:rPr>
          <w:lang w:val="en-US"/>
        </w:rPr>
        <w:t xml:space="preserve"> cooperation between the competent authorities for victim protection. </w:t>
      </w:r>
    </w:p>
    <w:p w:rsidR="00822681" w:rsidRDefault="00822681">
      <w:pPr>
        <w:jc w:val="both"/>
        <w:rPr>
          <w:lang w:val="en-US"/>
        </w:rPr>
      </w:pPr>
    </w:p>
    <w:p w:rsidR="00822681" w:rsidRDefault="00E45D1E">
      <w:pPr>
        <w:jc w:val="both"/>
        <w:rPr>
          <w:lang w:val="en-US"/>
        </w:rPr>
      </w:pPr>
      <w:r>
        <w:rPr>
          <w:lang w:val="en-US"/>
        </w:rPr>
        <w:t>162.</w:t>
      </w:r>
      <w:r>
        <w:rPr>
          <w:lang w:val="en-US"/>
        </w:rPr>
        <w:tab/>
      </w:r>
      <w:r w:rsidR="00822681">
        <w:rPr>
          <w:lang w:val="en-US"/>
        </w:rPr>
        <w:t xml:space="preserve">The Hellenic Police strive to inform the citizens about the dimensions of trafficking in human beings in Greece, so as to sensitize and increase their awareness, while creating a sense of safety caused by the presence of the Police. </w:t>
      </w:r>
    </w:p>
    <w:p w:rsidR="00822681" w:rsidRDefault="00822681">
      <w:pPr>
        <w:jc w:val="both"/>
        <w:rPr>
          <w:lang w:val="en-US"/>
        </w:rPr>
      </w:pPr>
    </w:p>
    <w:p w:rsidR="00822681" w:rsidRDefault="00E45D1E">
      <w:pPr>
        <w:jc w:val="both"/>
        <w:rPr>
          <w:lang w:val="en-US"/>
        </w:rPr>
      </w:pPr>
      <w:r>
        <w:rPr>
          <w:lang w:val="en-US"/>
        </w:rPr>
        <w:t>163.</w:t>
      </w:r>
      <w:r>
        <w:rPr>
          <w:lang w:val="en-US"/>
        </w:rPr>
        <w:tab/>
      </w:r>
      <w:r w:rsidR="00822681">
        <w:rPr>
          <w:lang w:val="en-US"/>
        </w:rPr>
        <w:t>Furthermore, it is possible to find more information on the Hellenic Police website (www.astynomia.gr) on issues of trafficking in human beings. Recently, information with guidelines and advice to trafficking victims has been added. Information documents and leaflets on trafficking and victims of trafficking have been distributed to all competent services</w:t>
      </w:r>
    </w:p>
    <w:p w:rsidR="00822681" w:rsidRDefault="00822681">
      <w:pPr>
        <w:jc w:val="both"/>
        <w:rPr>
          <w:lang w:val="en-US"/>
        </w:rPr>
      </w:pPr>
    </w:p>
    <w:p w:rsidR="00822681" w:rsidRDefault="00E45D1E">
      <w:pPr>
        <w:jc w:val="both"/>
        <w:rPr>
          <w:lang w:val="en-US"/>
        </w:rPr>
      </w:pPr>
      <w:r>
        <w:rPr>
          <w:lang w:val="en-US"/>
        </w:rPr>
        <w:t>164.</w:t>
      </w:r>
      <w:r>
        <w:rPr>
          <w:lang w:val="en-US"/>
        </w:rPr>
        <w:tab/>
      </w:r>
      <w:r w:rsidR="00822681">
        <w:rPr>
          <w:lang w:val="en-US"/>
        </w:rPr>
        <w:t>The Hellenic Police services cooperate with NGOs through the National Centre for Social  Solidarity  (EKKA)  of  the  Ministry  of  Health  and  Social  Welfare  and  the General Secretariat for Equality with the aim to provide support to victims as well as with the IOM for their safe repatriation.</w:t>
      </w:r>
    </w:p>
    <w:p w:rsidR="00822681" w:rsidRDefault="00822681">
      <w:pPr>
        <w:jc w:val="both"/>
        <w:rPr>
          <w:lang w:val="en-US"/>
        </w:rPr>
      </w:pPr>
      <w:r>
        <w:rPr>
          <w:lang w:val="en-US"/>
        </w:rPr>
        <w:t>.</w:t>
      </w:r>
    </w:p>
    <w:p w:rsidR="00822681" w:rsidRDefault="00E45D1E">
      <w:pPr>
        <w:jc w:val="both"/>
        <w:rPr>
          <w:lang w:val="en-US"/>
        </w:rPr>
      </w:pPr>
      <w:r>
        <w:rPr>
          <w:lang w:val="en-US"/>
        </w:rPr>
        <w:t>165.</w:t>
      </w:r>
      <w:r>
        <w:rPr>
          <w:lang w:val="en-US"/>
        </w:rPr>
        <w:tab/>
      </w:r>
      <w:r w:rsidR="00822681">
        <w:rPr>
          <w:lang w:val="en-US"/>
        </w:rPr>
        <w:t xml:space="preserve">Furthermore, two Public Prosecutors have been appointed in Athens in order to handle human trafficking cases, while awareness-raising and continuous training of judges on trafficking issues has been promoted. </w:t>
      </w:r>
    </w:p>
    <w:p w:rsidR="00822681" w:rsidRDefault="00822681">
      <w:pPr>
        <w:jc w:val="both"/>
        <w:rPr>
          <w:lang w:val="en-US"/>
        </w:rPr>
      </w:pPr>
    </w:p>
    <w:p w:rsidR="00822681" w:rsidRDefault="00822681">
      <w:pPr>
        <w:jc w:val="both"/>
        <w:rPr>
          <w:u w:val="single"/>
          <w:lang w:val="en-US"/>
        </w:rPr>
      </w:pPr>
      <w:r>
        <w:rPr>
          <w:u w:val="single"/>
          <w:lang w:val="en-US"/>
        </w:rPr>
        <w:t>Prevention of trafficking</w:t>
      </w:r>
    </w:p>
    <w:p w:rsidR="00822681" w:rsidRDefault="00822681">
      <w:pPr>
        <w:jc w:val="both"/>
        <w:rPr>
          <w:lang w:val="en-US"/>
        </w:rPr>
      </w:pPr>
    </w:p>
    <w:p w:rsidR="00115FC9" w:rsidRPr="00126D41" w:rsidRDefault="00E45D1E" w:rsidP="00115FC9">
      <w:pPr>
        <w:jc w:val="both"/>
        <w:rPr>
          <w:lang w:val="en-US"/>
        </w:rPr>
      </w:pPr>
      <w:r>
        <w:rPr>
          <w:lang w:val="en-US"/>
        </w:rPr>
        <w:t>166.</w:t>
      </w:r>
      <w:r>
        <w:rPr>
          <w:lang w:val="en-US"/>
        </w:rPr>
        <w:tab/>
      </w:r>
      <w:r w:rsidR="00115FC9">
        <w:rPr>
          <w:lang w:val="en-US"/>
        </w:rPr>
        <w:t>Greece is</w:t>
      </w:r>
      <w:r w:rsidR="00115FC9" w:rsidRPr="00126D41">
        <w:rPr>
          <w:lang w:val="en-US"/>
        </w:rPr>
        <w:t xml:space="preserve"> developing public awareness campaigns and training of all agencies involved with the aim of reducing demand for the services provided by the victims of trafficking and exploitation</w:t>
      </w:r>
      <w:r w:rsidR="00115FC9">
        <w:rPr>
          <w:lang w:val="en-US"/>
        </w:rPr>
        <w:t>, and the General Secretariat for Gender Equality plays an active role in that.</w:t>
      </w:r>
    </w:p>
    <w:p w:rsidR="00822681" w:rsidRDefault="00822681">
      <w:pPr>
        <w:jc w:val="both"/>
        <w:rPr>
          <w:lang w:val="en-US"/>
        </w:rPr>
      </w:pPr>
    </w:p>
    <w:p w:rsidR="00822681" w:rsidRDefault="00822681">
      <w:pPr>
        <w:jc w:val="both"/>
        <w:rPr>
          <w:u w:val="single"/>
          <w:lang w:val="en-US"/>
        </w:rPr>
      </w:pPr>
      <w:r>
        <w:rPr>
          <w:u w:val="single"/>
          <w:lang w:val="en-US"/>
        </w:rPr>
        <w:t>Statistical Data</w:t>
      </w:r>
    </w:p>
    <w:p w:rsidR="00822681" w:rsidRDefault="00822681">
      <w:pPr>
        <w:jc w:val="both"/>
        <w:rPr>
          <w:lang w:val="en-US"/>
        </w:rPr>
      </w:pPr>
    </w:p>
    <w:p w:rsidR="008B167E" w:rsidRPr="00A34605" w:rsidRDefault="00E45D1E" w:rsidP="008B167E">
      <w:pPr>
        <w:jc w:val="both"/>
        <w:rPr>
          <w:sz w:val="16"/>
          <w:szCs w:val="16"/>
          <w:lang w:val="en-US"/>
        </w:rPr>
      </w:pPr>
      <w:r>
        <w:rPr>
          <w:lang w:val="en-US"/>
        </w:rPr>
        <w:t>167.</w:t>
      </w:r>
      <w:r>
        <w:rPr>
          <w:lang w:val="en-US"/>
        </w:rPr>
        <w:tab/>
      </w:r>
      <w:r w:rsidR="008B167E" w:rsidRPr="00AA09AB">
        <w:rPr>
          <w:lang w:val="en-US"/>
        </w:rPr>
        <w:t xml:space="preserve">According to </w:t>
      </w:r>
      <w:r w:rsidR="008B167E">
        <w:rPr>
          <w:lang w:val="en-US"/>
        </w:rPr>
        <w:t>the latest statistical data</w:t>
      </w:r>
      <w:r w:rsidR="008B167E" w:rsidRPr="00AA09AB">
        <w:rPr>
          <w:lang w:val="en-US"/>
        </w:rPr>
        <w:t xml:space="preserve">, in the </w:t>
      </w:r>
      <w:r w:rsidR="008B167E">
        <w:rPr>
          <w:lang w:val="en-US"/>
        </w:rPr>
        <w:t>year 2011</w:t>
      </w:r>
      <w:r w:rsidR="008B167E" w:rsidRPr="00AA09AB">
        <w:rPr>
          <w:lang w:val="en-US"/>
        </w:rPr>
        <w:t xml:space="preserve"> the Services of the Hellenic Police dealt with </w:t>
      </w:r>
      <w:r w:rsidR="008B167E">
        <w:rPr>
          <w:b/>
          <w:lang w:val="en-US"/>
        </w:rPr>
        <w:t>41</w:t>
      </w:r>
      <w:r w:rsidR="008B167E" w:rsidRPr="00AA09AB">
        <w:rPr>
          <w:b/>
          <w:lang w:val="en-US"/>
        </w:rPr>
        <w:t xml:space="preserve"> </w:t>
      </w:r>
      <w:r w:rsidR="008B167E" w:rsidRPr="00AA09AB">
        <w:rPr>
          <w:lang w:val="en-US"/>
        </w:rPr>
        <w:t>cases of trafficking in human beings (</w:t>
      </w:r>
      <w:r w:rsidR="008B167E">
        <w:rPr>
          <w:b/>
          <w:lang w:val="en-US"/>
        </w:rPr>
        <w:t>35</w:t>
      </w:r>
      <w:r w:rsidR="008B167E" w:rsidRPr="00AA09AB">
        <w:rPr>
          <w:lang w:val="en-US"/>
        </w:rPr>
        <w:t xml:space="preserve"> of them regarding </w:t>
      </w:r>
      <w:r w:rsidR="008B167E">
        <w:rPr>
          <w:lang w:val="en-US"/>
        </w:rPr>
        <w:t xml:space="preserve">sexual exploitation, </w:t>
      </w:r>
      <w:r w:rsidR="008B167E">
        <w:rPr>
          <w:b/>
          <w:lang w:val="en-US"/>
        </w:rPr>
        <w:t>2</w:t>
      </w:r>
      <w:r w:rsidR="008B167E" w:rsidRPr="00AA09AB">
        <w:rPr>
          <w:lang w:val="en-US"/>
        </w:rPr>
        <w:t xml:space="preserve"> </w:t>
      </w:r>
      <w:r w:rsidR="008B167E">
        <w:rPr>
          <w:lang w:val="en-US"/>
        </w:rPr>
        <w:t>labour</w:t>
      </w:r>
      <w:r w:rsidR="008B167E" w:rsidRPr="00AA09AB">
        <w:rPr>
          <w:lang w:val="en-US"/>
        </w:rPr>
        <w:t xml:space="preserve"> exploitation</w:t>
      </w:r>
      <w:r w:rsidR="008B167E">
        <w:rPr>
          <w:lang w:val="en-US"/>
        </w:rPr>
        <w:t xml:space="preserve"> and 4 beggary)</w:t>
      </w:r>
      <w:r w:rsidR="008B167E" w:rsidRPr="00AA09AB">
        <w:rPr>
          <w:lang w:val="en-US"/>
        </w:rPr>
        <w:t>. The researches and preliminary investigations led to accusation</w:t>
      </w:r>
      <w:r w:rsidR="008B167E">
        <w:rPr>
          <w:lang w:val="en-US"/>
        </w:rPr>
        <w:t>s being brought against</w:t>
      </w:r>
      <w:r w:rsidR="008B167E" w:rsidRPr="00AA09AB">
        <w:rPr>
          <w:lang w:val="en-US"/>
        </w:rPr>
        <w:t xml:space="preserve"> </w:t>
      </w:r>
      <w:r w:rsidR="008B167E">
        <w:rPr>
          <w:b/>
          <w:lang w:val="en-US"/>
        </w:rPr>
        <w:t xml:space="preserve">220 </w:t>
      </w:r>
      <w:r w:rsidR="008B167E" w:rsidRPr="00AA09AB">
        <w:rPr>
          <w:lang w:val="en-US"/>
        </w:rPr>
        <w:t>alleged</w:t>
      </w:r>
      <w:r w:rsidR="008B167E" w:rsidRPr="00AA09AB">
        <w:rPr>
          <w:b/>
          <w:lang w:val="en-US"/>
        </w:rPr>
        <w:t xml:space="preserve"> </w:t>
      </w:r>
      <w:r w:rsidR="008B167E" w:rsidRPr="00AA09AB">
        <w:rPr>
          <w:lang w:val="en-US"/>
        </w:rPr>
        <w:t xml:space="preserve">perpetrators of Greek and foreign nationality, while there were </w:t>
      </w:r>
      <w:r w:rsidR="008B167E" w:rsidRPr="00AA09AB">
        <w:rPr>
          <w:b/>
          <w:lang w:val="en-US"/>
        </w:rPr>
        <w:t>9</w:t>
      </w:r>
      <w:r w:rsidR="008B167E">
        <w:rPr>
          <w:b/>
          <w:lang w:val="en-US"/>
        </w:rPr>
        <w:t>7</w:t>
      </w:r>
      <w:r w:rsidR="008B167E" w:rsidRPr="00AA09AB">
        <w:rPr>
          <w:lang w:val="en-US"/>
        </w:rPr>
        <w:t xml:space="preserve"> victims (male – female &amp; minors) of </w:t>
      </w:r>
      <w:r w:rsidR="008B167E">
        <w:rPr>
          <w:lang w:val="en-US"/>
        </w:rPr>
        <w:t>labour</w:t>
      </w:r>
      <w:r w:rsidR="008B167E" w:rsidRPr="00AA09AB">
        <w:rPr>
          <w:lang w:val="en-US"/>
        </w:rPr>
        <w:t xml:space="preserve"> and sexual exploitation, out of which </w:t>
      </w:r>
      <w:r w:rsidR="008B167E">
        <w:rPr>
          <w:b/>
          <w:lang w:val="en-US"/>
        </w:rPr>
        <w:t>51</w:t>
      </w:r>
      <w:r w:rsidR="008B167E" w:rsidRPr="00AA09AB">
        <w:rPr>
          <w:lang w:val="en-US"/>
        </w:rPr>
        <w:t xml:space="preserve"> sought for State assistance and protection which was also provided to them. Out of this total number, </w:t>
      </w:r>
      <w:r w:rsidR="008B167E">
        <w:rPr>
          <w:b/>
          <w:lang w:val="en-US"/>
        </w:rPr>
        <w:t>9</w:t>
      </w:r>
      <w:r w:rsidR="008B167E" w:rsidRPr="00AA09AB">
        <w:rPr>
          <w:lang w:val="en-US"/>
        </w:rPr>
        <w:t xml:space="preserve"> were qualified by act of the competent Prosecutor as falling with the beneficial </w:t>
      </w:r>
      <w:r w:rsidR="008B167E" w:rsidRPr="00AA09AB">
        <w:rPr>
          <w:lang w:val="en-US"/>
        </w:rPr>
        <w:lastRenderedPageBreak/>
        <w:t>provisions of Law 3064/20</w:t>
      </w:r>
      <w:r w:rsidR="008B167E">
        <w:rPr>
          <w:lang w:val="en-US"/>
        </w:rPr>
        <w:t>02. Assistance and protection have also been provided to 8 women</w:t>
      </w:r>
      <w:r w:rsidR="008B167E" w:rsidRPr="00934047">
        <w:rPr>
          <w:lang w:val="en-US"/>
        </w:rPr>
        <w:t xml:space="preserve"> </w:t>
      </w:r>
      <w:r w:rsidR="008B167E">
        <w:rPr>
          <w:lang w:val="en-US"/>
        </w:rPr>
        <w:t>in pending cases and in accordance with the Palermo Protocol, which foresees the identification of victims of trafficking in human beings even though criminal charges have not been yet brought.</w:t>
      </w:r>
    </w:p>
    <w:p w:rsidR="00822681" w:rsidRDefault="00822681">
      <w:pPr>
        <w:ind w:right="26"/>
        <w:jc w:val="both"/>
        <w:rPr>
          <w:u w:val="single"/>
          <w:lang w:val="en-US"/>
        </w:rPr>
      </w:pPr>
    </w:p>
    <w:p w:rsidR="00822681" w:rsidRDefault="00822681">
      <w:pPr>
        <w:ind w:right="26"/>
        <w:jc w:val="center"/>
        <w:rPr>
          <w:lang w:val="en-US"/>
        </w:rPr>
      </w:pPr>
      <w:r>
        <w:rPr>
          <w:b/>
          <w:lang w:val="en-US"/>
        </w:rPr>
        <w:t>ARTICLE 11</w:t>
      </w:r>
    </w:p>
    <w:p w:rsidR="00822681" w:rsidRDefault="00822681">
      <w:pPr>
        <w:ind w:right="26"/>
        <w:jc w:val="center"/>
        <w:rPr>
          <w:b/>
          <w:lang w:val="en-US"/>
        </w:rPr>
      </w:pPr>
      <w:r>
        <w:rPr>
          <w:b/>
          <w:lang w:val="en-US"/>
        </w:rPr>
        <w:t>The Right to Adequate Housing</w:t>
      </w:r>
    </w:p>
    <w:p w:rsidR="00822681" w:rsidRDefault="00822681">
      <w:pPr>
        <w:ind w:right="26"/>
        <w:jc w:val="center"/>
        <w:rPr>
          <w:b/>
          <w:lang w:val="en-US"/>
        </w:rPr>
      </w:pPr>
    </w:p>
    <w:p w:rsidR="00822681" w:rsidRDefault="00822681">
      <w:pPr>
        <w:ind w:right="26"/>
        <w:jc w:val="both"/>
        <w:rPr>
          <w:b/>
          <w:lang w:val="en-US"/>
        </w:rPr>
      </w:pPr>
      <w:r>
        <w:rPr>
          <w:b/>
          <w:lang w:val="en-US"/>
        </w:rPr>
        <w:t xml:space="preserve">The housing situation in </w:t>
      </w:r>
      <w:smartTag w:uri="urn:schemas-microsoft-com:office:smarttags" w:element="country-region">
        <w:smartTag w:uri="urn:schemas-microsoft-com:office:smarttags" w:element="place">
          <w:r>
            <w:rPr>
              <w:b/>
              <w:lang w:val="en-US"/>
            </w:rPr>
            <w:t>Greece</w:t>
          </w:r>
        </w:smartTag>
      </w:smartTag>
    </w:p>
    <w:p w:rsidR="00822681" w:rsidRDefault="00822681">
      <w:pPr>
        <w:ind w:right="26"/>
        <w:jc w:val="both"/>
        <w:rPr>
          <w:lang w:val="en-US"/>
        </w:rPr>
      </w:pPr>
    </w:p>
    <w:p w:rsidR="00822681" w:rsidRDefault="00E45D1E">
      <w:pPr>
        <w:ind w:right="26"/>
        <w:jc w:val="both"/>
        <w:rPr>
          <w:lang w:val="en-US"/>
        </w:rPr>
      </w:pPr>
      <w:r>
        <w:rPr>
          <w:lang w:val="en-US"/>
        </w:rPr>
        <w:t>168.</w:t>
      </w:r>
      <w:r>
        <w:rPr>
          <w:lang w:val="en-US"/>
        </w:rPr>
        <w:tab/>
      </w:r>
      <w:r w:rsidR="00822681">
        <w:rPr>
          <w:lang w:val="en-US"/>
        </w:rPr>
        <w:t xml:space="preserve">Generally speaking, there is no serious housing problem for the biggest part of Greeks and there are positive trends for stable improvement of housing conditions. In terms of self-owned residence, increase rates of the previous decades (2001: 79.7%, 2005: 78.7%) have become rather restraint.  </w:t>
      </w:r>
    </w:p>
    <w:p w:rsidR="00822681" w:rsidRDefault="00822681">
      <w:pPr>
        <w:ind w:right="26"/>
        <w:jc w:val="both"/>
        <w:rPr>
          <w:lang w:val="en-US"/>
        </w:rPr>
      </w:pPr>
    </w:p>
    <w:p w:rsidR="00822681" w:rsidRDefault="00E45D1E">
      <w:pPr>
        <w:ind w:right="26"/>
        <w:jc w:val="both"/>
        <w:rPr>
          <w:lang w:val="en-US"/>
        </w:rPr>
      </w:pPr>
      <w:r>
        <w:rPr>
          <w:lang w:val="en-US"/>
        </w:rPr>
        <w:t>169.</w:t>
      </w:r>
      <w:r>
        <w:rPr>
          <w:lang w:val="en-US"/>
        </w:rPr>
        <w:tab/>
      </w:r>
      <w:r w:rsidR="00512B5D">
        <w:rPr>
          <w:lang w:val="en-US"/>
        </w:rPr>
        <w:t xml:space="preserve">However, </w:t>
      </w:r>
      <w:r w:rsidR="00822681">
        <w:rPr>
          <w:lang w:val="en-US"/>
        </w:rPr>
        <w:t xml:space="preserve">here are certain categories of households in Greece, mostly poor people in urban and rural areas and economic immigrants, who, in their vast majority, live under unsatisfactory conditions or face unacceptable financial burdens which prevent them from being adequately housed. </w:t>
      </w:r>
    </w:p>
    <w:p w:rsidR="00822681" w:rsidRDefault="00822681">
      <w:pPr>
        <w:widowControl w:val="0"/>
        <w:autoSpaceDE w:val="0"/>
        <w:autoSpaceDN w:val="0"/>
        <w:adjustRightInd w:val="0"/>
        <w:ind w:right="26"/>
        <w:jc w:val="both"/>
        <w:rPr>
          <w:i/>
          <w:lang w:val="en-US"/>
        </w:rPr>
      </w:pPr>
    </w:p>
    <w:p w:rsidR="00822681" w:rsidRDefault="00822681">
      <w:pPr>
        <w:widowControl w:val="0"/>
        <w:autoSpaceDE w:val="0"/>
        <w:autoSpaceDN w:val="0"/>
        <w:adjustRightInd w:val="0"/>
        <w:ind w:right="26"/>
        <w:jc w:val="both"/>
        <w:rPr>
          <w:b/>
          <w:lang w:val="en-US"/>
        </w:rPr>
      </w:pPr>
      <w:r>
        <w:rPr>
          <w:b/>
          <w:lang w:val="en-US"/>
        </w:rPr>
        <w:t xml:space="preserve">The role of the </w:t>
      </w:r>
      <w:r>
        <w:rPr>
          <w:b/>
          <w:szCs w:val="25"/>
          <w:lang w:val="en-US"/>
        </w:rPr>
        <w:t>Workers’ Housing Organization</w:t>
      </w:r>
    </w:p>
    <w:p w:rsidR="00822681" w:rsidRDefault="00E45D1E">
      <w:pPr>
        <w:ind w:right="26"/>
        <w:jc w:val="both"/>
        <w:rPr>
          <w:szCs w:val="25"/>
          <w:lang w:val="en-US"/>
        </w:rPr>
      </w:pPr>
      <w:r>
        <w:rPr>
          <w:szCs w:val="25"/>
          <w:lang w:val="en-US"/>
        </w:rPr>
        <w:t>170.</w:t>
      </w:r>
      <w:r>
        <w:rPr>
          <w:szCs w:val="25"/>
          <w:lang w:val="en-US"/>
        </w:rPr>
        <w:tab/>
      </w:r>
      <w:r w:rsidR="00822681">
        <w:rPr>
          <w:szCs w:val="25"/>
          <w:lang w:val="en-US"/>
        </w:rPr>
        <w:t xml:space="preserve">As mentioned in the initial Greek report, the Workers’ Housing Organization (OEK), which </w:t>
      </w:r>
      <w:r w:rsidR="00B768B5">
        <w:rPr>
          <w:szCs w:val="25"/>
          <w:lang w:val="en-US"/>
        </w:rPr>
        <w:t xml:space="preserve">was </w:t>
      </w:r>
      <w:r w:rsidR="00822681">
        <w:rPr>
          <w:szCs w:val="25"/>
          <w:lang w:val="en-US"/>
        </w:rPr>
        <w:t xml:space="preserve">supervised by the Ministry of Labour and Social Security, </w:t>
      </w:r>
      <w:r w:rsidR="00B768B5">
        <w:rPr>
          <w:szCs w:val="25"/>
          <w:lang w:val="en-US"/>
        </w:rPr>
        <w:t>was</w:t>
      </w:r>
      <w:r w:rsidR="00822681">
        <w:rPr>
          <w:szCs w:val="25"/>
          <w:lang w:val="en-US"/>
        </w:rPr>
        <w:t xml:space="preserve"> the main body exercising social housing policy and providing residence to employees and pensioners of the country.</w:t>
      </w:r>
      <w:r w:rsidR="00B768B5">
        <w:rPr>
          <w:szCs w:val="25"/>
          <w:lang w:val="en-US"/>
        </w:rPr>
        <w:t xml:space="preserve"> </w:t>
      </w:r>
      <w:r w:rsidR="00822681">
        <w:rPr>
          <w:szCs w:val="25"/>
          <w:lang w:val="en-US"/>
        </w:rPr>
        <w:t xml:space="preserve">The Workers’ Housing Organization </w:t>
      </w:r>
      <w:r w:rsidR="00B768B5">
        <w:rPr>
          <w:szCs w:val="25"/>
          <w:lang w:val="en-US"/>
        </w:rPr>
        <w:t>was</w:t>
      </w:r>
      <w:r w:rsidR="00822681">
        <w:rPr>
          <w:szCs w:val="25"/>
          <w:lang w:val="en-US"/>
        </w:rPr>
        <w:t xml:space="preserve"> financed by contributions of workers and their employers and provide</w:t>
      </w:r>
      <w:r w:rsidR="00B768B5">
        <w:rPr>
          <w:szCs w:val="25"/>
          <w:lang w:val="en-US"/>
        </w:rPr>
        <w:t>d</w:t>
      </w:r>
      <w:r w:rsidR="00822681">
        <w:rPr>
          <w:szCs w:val="25"/>
          <w:lang w:val="en-US"/>
        </w:rPr>
        <w:t xml:space="preserve"> housing assistance exclusively and solely to its beneficiaries</w:t>
      </w:r>
      <w:r w:rsidR="00AA37C3">
        <w:rPr>
          <w:szCs w:val="25"/>
          <w:lang w:val="en-US"/>
        </w:rPr>
        <w:t xml:space="preserve"> without making any </w:t>
      </w:r>
      <w:r w:rsidR="00822681">
        <w:rPr>
          <w:szCs w:val="25"/>
          <w:lang w:val="en-US"/>
        </w:rPr>
        <w:t xml:space="preserve">discrimination among its beneficiaries on </w:t>
      </w:r>
      <w:r w:rsidR="00AA37C3">
        <w:rPr>
          <w:szCs w:val="25"/>
          <w:lang w:val="en-US"/>
        </w:rPr>
        <w:t xml:space="preserve">the </w:t>
      </w:r>
      <w:r w:rsidR="00822681">
        <w:rPr>
          <w:szCs w:val="25"/>
          <w:lang w:val="en-US"/>
        </w:rPr>
        <w:t>grounds of gender, race, religion, ethnic origin, age, sexual orientation or any other characteristic..</w:t>
      </w:r>
    </w:p>
    <w:p w:rsidR="00822681" w:rsidRDefault="00822681">
      <w:pPr>
        <w:ind w:right="26"/>
        <w:jc w:val="both"/>
        <w:rPr>
          <w:szCs w:val="25"/>
          <w:lang w:val="en-US"/>
        </w:rPr>
      </w:pPr>
      <w:r>
        <w:rPr>
          <w:szCs w:val="25"/>
          <w:lang w:val="en-US"/>
        </w:rPr>
        <w:t>Overall, measures have been taken</w:t>
      </w:r>
      <w:r w:rsidR="00B768B5">
        <w:rPr>
          <w:szCs w:val="25"/>
          <w:lang w:val="en-US"/>
        </w:rPr>
        <w:t xml:space="preserve"> since 2004</w:t>
      </w:r>
      <w:r>
        <w:rPr>
          <w:szCs w:val="25"/>
          <w:lang w:val="en-US"/>
        </w:rPr>
        <w:t xml:space="preserve">, which further </w:t>
      </w:r>
      <w:r w:rsidR="00B768B5">
        <w:rPr>
          <w:szCs w:val="25"/>
          <w:lang w:val="en-US"/>
        </w:rPr>
        <w:t xml:space="preserve">improved </w:t>
      </w:r>
      <w:r>
        <w:rPr>
          <w:szCs w:val="25"/>
          <w:lang w:val="en-US"/>
        </w:rPr>
        <w:t>the benefits by the Workers’ Housing Organization. Moreover, there has been an increase in the number of houses assigned directly every year to beneficiaries with acute social and economic needs, as well as to single mothers.</w:t>
      </w:r>
    </w:p>
    <w:p w:rsidR="00822681" w:rsidRDefault="00B768B5">
      <w:pPr>
        <w:ind w:right="26"/>
        <w:jc w:val="both"/>
        <w:rPr>
          <w:lang w:val="en-US"/>
        </w:rPr>
      </w:pPr>
      <w:r>
        <w:rPr>
          <w:lang w:val="en-US"/>
        </w:rPr>
        <w:t>More specifically</w:t>
      </w:r>
      <w:r w:rsidR="00822681">
        <w:rPr>
          <w:lang w:val="en-US"/>
        </w:rPr>
        <w:t xml:space="preserve">, the development of the programmes for the years 2004-2008, </w:t>
      </w:r>
      <w:r>
        <w:rPr>
          <w:lang w:val="en-US"/>
        </w:rPr>
        <w:t xml:space="preserve">was </w:t>
      </w:r>
      <w:r w:rsidR="00822681">
        <w:rPr>
          <w:lang w:val="en-US"/>
        </w:rPr>
        <w:t xml:space="preserve">as </w:t>
      </w:r>
      <w:r>
        <w:rPr>
          <w:lang w:val="en-US"/>
        </w:rPr>
        <w:t>follows</w:t>
      </w:r>
      <w:r w:rsidR="00822681">
        <w:rPr>
          <w:lang w:val="en-US"/>
        </w:rPr>
        <w:t>:</w:t>
      </w:r>
    </w:p>
    <w:p w:rsidR="00822681" w:rsidRDefault="00822681">
      <w:pPr>
        <w:ind w:right="26"/>
        <w:jc w:val="both"/>
        <w:rPr>
          <w:lang w:val="en-US"/>
        </w:rPr>
      </w:pPr>
    </w:p>
    <w:tbl>
      <w:tblPr>
        <w:tblW w:w="96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1440"/>
        <w:gridCol w:w="1242"/>
        <w:gridCol w:w="1320"/>
        <w:gridCol w:w="1320"/>
        <w:gridCol w:w="1320"/>
        <w:gridCol w:w="1320"/>
      </w:tblGrid>
      <w:tr w:rsidR="00822681">
        <w:trPr>
          <w:trHeight w:val="268"/>
        </w:trPr>
        <w:tc>
          <w:tcPr>
            <w:tcW w:w="3164" w:type="dxa"/>
            <w:gridSpan w:val="2"/>
          </w:tcPr>
          <w:p w:rsidR="00822681" w:rsidRDefault="00822681">
            <w:pPr>
              <w:ind w:right="26"/>
              <w:jc w:val="both"/>
              <w:rPr>
                <w:sz w:val="20"/>
                <w:lang w:val="en-US"/>
              </w:rPr>
            </w:pPr>
            <w:r>
              <w:rPr>
                <w:sz w:val="20"/>
                <w:lang w:val="en-US"/>
              </w:rPr>
              <w:t>PROGRAMME</w:t>
            </w:r>
          </w:p>
        </w:tc>
        <w:tc>
          <w:tcPr>
            <w:tcW w:w="1242" w:type="dxa"/>
          </w:tcPr>
          <w:p w:rsidR="00822681" w:rsidRDefault="00822681">
            <w:pPr>
              <w:pStyle w:val="BodyTextIndent"/>
              <w:spacing w:before="120"/>
              <w:ind w:left="0" w:right="26"/>
              <w:jc w:val="both"/>
              <w:rPr>
                <w:bCs/>
                <w:sz w:val="20"/>
                <w:lang w:val="en-US"/>
              </w:rPr>
            </w:pPr>
            <w:r>
              <w:rPr>
                <w:bCs/>
                <w:sz w:val="20"/>
                <w:szCs w:val="22"/>
                <w:lang w:val="en-US"/>
              </w:rPr>
              <w:t>2004</w:t>
            </w:r>
          </w:p>
        </w:tc>
        <w:tc>
          <w:tcPr>
            <w:tcW w:w="1320" w:type="dxa"/>
          </w:tcPr>
          <w:p w:rsidR="00822681" w:rsidRDefault="00822681">
            <w:pPr>
              <w:pStyle w:val="BodyTextIndent"/>
              <w:spacing w:before="120"/>
              <w:ind w:left="0" w:right="26"/>
              <w:jc w:val="both"/>
              <w:rPr>
                <w:bCs/>
                <w:sz w:val="20"/>
                <w:lang w:val="en-US"/>
              </w:rPr>
            </w:pPr>
            <w:r>
              <w:rPr>
                <w:bCs/>
                <w:sz w:val="20"/>
                <w:szCs w:val="22"/>
                <w:lang w:val="en-US"/>
              </w:rPr>
              <w:t>2005</w:t>
            </w:r>
          </w:p>
        </w:tc>
        <w:tc>
          <w:tcPr>
            <w:tcW w:w="1320" w:type="dxa"/>
          </w:tcPr>
          <w:p w:rsidR="00822681" w:rsidRDefault="00822681">
            <w:pPr>
              <w:pStyle w:val="BodyTextIndent"/>
              <w:spacing w:before="120"/>
              <w:ind w:left="0" w:right="26"/>
              <w:jc w:val="both"/>
              <w:rPr>
                <w:bCs/>
                <w:sz w:val="20"/>
                <w:lang w:val="en-US"/>
              </w:rPr>
            </w:pPr>
            <w:r>
              <w:rPr>
                <w:bCs/>
                <w:sz w:val="20"/>
                <w:szCs w:val="22"/>
                <w:lang w:val="en-US"/>
              </w:rPr>
              <w:t>2006</w:t>
            </w:r>
          </w:p>
        </w:tc>
        <w:tc>
          <w:tcPr>
            <w:tcW w:w="1320" w:type="dxa"/>
          </w:tcPr>
          <w:p w:rsidR="00822681" w:rsidRDefault="00822681">
            <w:pPr>
              <w:pStyle w:val="BodyTextIndent"/>
              <w:spacing w:before="120"/>
              <w:ind w:left="0" w:right="26"/>
              <w:jc w:val="both"/>
              <w:rPr>
                <w:bCs/>
                <w:sz w:val="20"/>
                <w:lang w:val="en-US"/>
              </w:rPr>
            </w:pPr>
            <w:r>
              <w:rPr>
                <w:bCs/>
                <w:sz w:val="20"/>
                <w:szCs w:val="22"/>
                <w:lang w:val="en-US"/>
              </w:rPr>
              <w:t>2007</w:t>
            </w:r>
          </w:p>
        </w:tc>
        <w:tc>
          <w:tcPr>
            <w:tcW w:w="1320" w:type="dxa"/>
          </w:tcPr>
          <w:p w:rsidR="00822681" w:rsidRDefault="00822681">
            <w:pPr>
              <w:pStyle w:val="BodyTextIndent"/>
              <w:spacing w:before="120"/>
              <w:ind w:left="0" w:right="26"/>
              <w:jc w:val="both"/>
              <w:rPr>
                <w:bCs/>
                <w:sz w:val="20"/>
                <w:lang w:val="en-US"/>
              </w:rPr>
            </w:pPr>
            <w:r>
              <w:rPr>
                <w:bCs/>
                <w:sz w:val="20"/>
                <w:szCs w:val="22"/>
                <w:lang w:val="en-US"/>
              </w:rPr>
              <w:t>2008</w:t>
            </w:r>
          </w:p>
        </w:tc>
      </w:tr>
      <w:tr w:rsidR="00822681">
        <w:trPr>
          <w:cantSplit/>
          <w:trHeight w:val="130"/>
        </w:trPr>
        <w:tc>
          <w:tcPr>
            <w:tcW w:w="1724" w:type="dxa"/>
            <w:vMerge w:val="restart"/>
          </w:tcPr>
          <w:p w:rsidR="00822681" w:rsidRDefault="00822681">
            <w:pPr>
              <w:pStyle w:val="BodyTextIndent"/>
              <w:ind w:left="0" w:right="26"/>
              <w:jc w:val="both"/>
              <w:rPr>
                <w:bCs/>
                <w:sz w:val="20"/>
                <w:szCs w:val="20"/>
                <w:lang w:val="en-US"/>
              </w:rPr>
            </w:pPr>
            <w:r>
              <w:rPr>
                <w:bCs/>
                <w:sz w:val="20"/>
                <w:szCs w:val="20"/>
                <w:lang w:val="en-US"/>
              </w:rPr>
              <w:t>1. Houses</w:t>
            </w:r>
          </w:p>
        </w:tc>
        <w:tc>
          <w:tcPr>
            <w:tcW w:w="1440" w:type="dxa"/>
          </w:tcPr>
          <w:p w:rsidR="00822681" w:rsidRDefault="00822681">
            <w:pPr>
              <w:ind w:right="26"/>
              <w:jc w:val="both"/>
              <w:rPr>
                <w:sz w:val="20"/>
                <w:szCs w:val="18"/>
                <w:lang w:val="en-US"/>
              </w:rPr>
            </w:pPr>
            <w:r>
              <w:rPr>
                <w:sz w:val="20"/>
                <w:szCs w:val="18"/>
                <w:lang w:val="en-US"/>
              </w:rPr>
              <w:t xml:space="preserve">Actioned </w:t>
            </w:r>
          </w:p>
        </w:tc>
        <w:tc>
          <w:tcPr>
            <w:tcW w:w="1242" w:type="dxa"/>
          </w:tcPr>
          <w:p w:rsidR="00822681" w:rsidRDefault="00822681">
            <w:pPr>
              <w:pStyle w:val="BodyTextIndent"/>
              <w:spacing w:before="120"/>
              <w:ind w:left="0" w:right="26"/>
              <w:jc w:val="both"/>
              <w:rPr>
                <w:bCs/>
                <w:sz w:val="20"/>
                <w:lang w:val="en-US"/>
              </w:rPr>
            </w:pPr>
            <w:r>
              <w:rPr>
                <w:bCs/>
                <w:sz w:val="20"/>
                <w:lang w:val="en-US"/>
              </w:rPr>
              <w:t>378</w:t>
            </w:r>
          </w:p>
        </w:tc>
        <w:tc>
          <w:tcPr>
            <w:tcW w:w="1320" w:type="dxa"/>
          </w:tcPr>
          <w:p w:rsidR="00822681" w:rsidRDefault="00822681">
            <w:pPr>
              <w:pStyle w:val="BodyTextIndent"/>
              <w:spacing w:before="120"/>
              <w:ind w:left="0" w:right="26"/>
              <w:jc w:val="both"/>
              <w:rPr>
                <w:bCs/>
                <w:sz w:val="20"/>
                <w:lang w:val="en-US"/>
              </w:rPr>
            </w:pPr>
            <w:r>
              <w:rPr>
                <w:bCs/>
                <w:sz w:val="20"/>
                <w:lang w:val="en-US"/>
              </w:rPr>
              <w:t>806</w:t>
            </w:r>
          </w:p>
        </w:tc>
        <w:tc>
          <w:tcPr>
            <w:tcW w:w="1320" w:type="dxa"/>
          </w:tcPr>
          <w:p w:rsidR="00822681" w:rsidRDefault="00822681">
            <w:pPr>
              <w:pStyle w:val="BodyTextIndent"/>
              <w:spacing w:before="120"/>
              <w:ind w:left="0" w:right="26"/>
              <w:jc w:val="both"/>
              <w:rPr>
                <w:bCs/>
                <w:sz w:val="20"/>
                <w:lang w:val="en-US"/>
              </w:rPr>
            </w:pPr>
            <w:r>
              <w:rPr>
                <w:bCs/>
                <w:sz w:val="20"/>
                <w:lang w:val="en-US"/>
              </w:rPr>
              <w:t>572</w:t>
            </w:r>
          </w:p>
        </w:tc>
        <w:tc>
          <w:tcPr>
            <w:tcW w:w="1320" w:type="dxa"/>
          </w:tcPr>
          <w:p w:rsidR="00822681" w:rsidRDefault="00822681">
            <w:pPr>
              <w:pStyle w:val="BodyTextIndent"/>
              <w:spacing w:before="120"/>
              <w:ind w:left="0" w:right="26"/>
              <w:jc w:val="both"/>
              <w:rPr>
                <w:bCs/>
                <w:sz w:val="20"/>
                <w:lang w:val="en-US"/>
              </w:rPr>
            </w:pPr>
            <w:r>
              <w:rPr>
                <w:bCs/>
                <w:sz w:val="20"/>
                <w:lang w:val="en-US"/>
              </w:rPr>
              <w:t>316</w:t>
            </w:r>
          </w:p>
        </w:tc>
        <w:tc>
          <w:tcPr>
            <w:tcW w:w="1320" w:type="dxa"/>
          </w:tcPr>
          <w:p w:rsidR="00822681" w:rsidRDefault="00822681">
            <w:pPr>
              <w:pStyle w:val="BodyTextIndent"/>
              <w:spacing w:before="120"/>
              <w:ind w:left="0" w:right="26"/>
              <w:jc w:val="both"/>
              <w:rPr>
                <w:bCs/>
                <w:sz w:val="20"/>
                <w:lang w:val="en-US"/>
              </w:rPr>
            </w:pPr>
            <w:r>
              <w:rPr>
                <w:bCs/>
                <w:sz w:val="20"/>
                <w:lang w:val="en-US"/>
              </w:rPr>
              <w:t>419</w:t>
            </w:r>
          </w:p>
        </w:tc>
      </w:tr>
      <w:tr w:rsidR="00822681">
        <w:trPr>
          <w:cantSplit/>
          <w:trHeight w:val="130"/>
        </w:trPr>
        <w:tc>
          <w:tcPr>
            <w:tcW w:w="1724" w:type="dxa"/>
            <w:vMerge/>
          </w:tcPr>
          <w:p w:rsidR="00822681" w:rsidRDefault="00822681">
            <w:pPr>
              <w:pStyle w:val="BodyTextIndent"/>
              <w:ind w:left="0" w:right="26"/>
              <w:jc w:val="both"/>
              <w:rPr>
                <w:bCs/>
                <w:sz w:val="20"/>
                <w:szCs w:val="20"/>
                <w:lang w:val="en-US"/>
              </w:rPr>
            </w:pPr>
          </w:p>
        </w:tc>
        <w:tc>
          <w:tcPr>
            <w:tcW w:w="1440" w:type="dxa"/>
          </w:tcPr>
          <w:p w:rsidR="00822681" w:rsidRDefault="00822681">
            <w:pPr>
              <w:ind w:right="26"/>
              <w:jc w:val="both"/>
              <w:rPr>
                <w:sz w:val="20"/>
                <w:szCs w:val="18"/>
                <w:lang w:val="en-US"/>
              </w:rPr>
            </w:pPr>
            <w:r>
              <w:rPr>
                <w:sz w:val="20"/>
                <w:szCs w:val="18"/>
                <w:lang w:val="en-US"/>
              </w:rPr>
              <w:t xml:space="preserve">Given by lot </w:t>
            </w:r>
          </w:p>
        </w:tc>
        <w:tc>
          <w:tcPr>
            <w:tcW w:w="1242" w:type="dxa"/>
          </w:tcPr>
          <w:p w:rsidR="00822681" w:rsidRDefault="00822681">
            <w:pPr>
              <w:pStyle w:val="BodyTextIndent"/>
              <w:spacing w:before="120"/>
              <w:ind w:left="0" w:right="26"/>
              <w:jc w:val="both"/>
              <w:rPr>
                <w:bCs/>
                <w:sz w:val="20"/>
                <w:lang w:val="en-US"/>
              </w:rPr>
            </w:pPr>
            <w:r>
              <w:rPr>
                <w:bCs/>
                <w:sz w:val="20"/>
                <w:lang w:val="en-US"/>
              </w:rPr>
              <w:t>2.104</w:t>
            </w:r>
          </w:p>
        </w:tc>
        <w:tc>
          <w:tcPr>
            <w:tcW w:w="1320" w:type="dxa"/>
          </w:tcPr>
          <w:p w:rsidR="00822681" w:rsidRDefault="00822681">
            <w:pPr>
              <w:pStyle w:val="BodyTextIndent"/>
              <w:spacing w:before="120"/>
              <w:ind w:left="0" w:right="26"/>
              <w:jc w:val="both"/>
              <w:rPr>
                <w:bCs/>
                <w:sz w:val="20"/>
                <w:lang w:val="en-US"/>
              </w:rPr>
            </w:pPr>
            <w:r>
              <w:rPr>
                <w:bCs/>
                <w:sz w:val="20"/>
                <w:lang w:val="en-US"/>
              </w:rPr>
              <w:t>987</w:t>
            </w:r>
          </w:p>
        </w:tc>
        <w:tc>
          <w:tcPr>
            <w:tcW w:w="1320" w:type="dxa"/>
          </w:tcPr>
          <w:p w:rsidR="00822681" w:rsidRDefault="00822681">
            <w:pPr>
              <w:pStyle w:val="BodyTextIndent"/>
              <w:spacing w:before="120"/>
              <w:ind w:left="0" w:right="26"/>
              <w:jc w:val="both"/>
              <w:rPr>
                <w:bCs/>
                <w:sz w:val="20"/>
                <w:lang w:val="en-US"/>
              </w:rPr>
            </w:pPr>
            <w:r>
              <w:rPr>
                <w:bCs/>
                <w:sz w:val="20"/>
                <w:lang w:val="en-US"/>
              </w:rPr>
              <w:t>273</w:t>
            </w:r>
          </w:p>
        </w:tc>
        <w:tc>
          <w:tcPr>
            <w:tcW w:w="1320" w:type="dxa"/>
          </w:tcPr>
          <w:p w:rsidR="00822681" w:rsidRDefault="00822681">
            <w:pPr>
              <w:pStyle w:val="BodyTextIndent"/>
              <w:spacing w:before="120"/>
              <w:ind w:left="0" w:right="26"/>
              <w:jc w:val="both"/>
              <w:rPr>
                <w:bCs/>
                <w:sz w:val="20"/>
                <w:lang w:val="en-US"/>
              </w:rPr>
            </w:pPr>
            <w:r>
              <w:rPr>
                <w:bCs/>
                <w:sz w:val="20"/>
                <w:lang w:val="en-US"/>
              </w:rPr>
              <w:t>326</w:t>
            </w:r>
          </w:p>
        </w:tc>
        <w:tc>
          <w:tcPr>
            <w:tcW w:w="1320" w:type="dxa"/>
          </w:tcPr>
          <w:p w:rsidR="00822681" w:rsidRDefault="00822681">
            <w:pPr>
              <w:pStyle w:val="BodyTextIndent"/>
              <w:spacing w:before="120"/>
              <w:ind w:left="0" w:right="26"/>
              <w:jc w:val="both"/>
              <w:rPr>
                <w:bCs/>
                <w:sz w:val="20"/>
                <w:lang w:val="en-US"/>
              </w:rPr>
            </w:pPr>
            <w:r>
              <w:rPr>
                <w:bCs/>
                <w:sz w:val="20"/>
                <w:lang w:val="en-US"/>
              </w:rPr>
              <w:t>484</w:t>
            </w:r>
          </w:p>
        </w:tc>
      </w:tr>
      <w:tr w:rsidR="00822681">
        <w:trPr>
          <w:cantSplit/>
          <w:trHeight w:val="130"/>
        </w:trPr>
        <w:tc>
          <w:tcPr>
            <w:tcW w:w="1724" w:type="dxa"/>
            <w:vMerge/>
          </w:tcPr>
          <w:p w:rsidR="00822681" w:rsidRDefault="00822681">
            <w:pPr>
              <w:pStyle w:val="BodyTextIndent"/>
              <w:ind w:left="0" w:right="26"/>
              <w:jc w:val="both"/>
              <w:rPr>
                <w:bCs/>
                <w:sz w:val="20"/>
                <w:szCs w:val="20"/>
                <w:lang w:val="en-US"/>
              </w:rPr>
            </w:pPr>
          </w:p>
        </w:tc>
        <w:tc>
          <w:tcPr>
            <w:tcW w:w="1440" w:type="dxa"/>
          </w:tcPr>
          <w:p w:rsidR="00822681" w:rsidRDefault="00822681">
            <w:pPr>
              <w:ind w:right="26"/>
              <w:jc w:val="both"/>
              <w:rPr>
                <w:sz w:val="20"/>
                <w:szCs w:val="18"/>
                <w:lang w:val="en-US"/>
              </w:rPr>
            </w:pPr>
            <w:r>
              <w:rPr>
                <w:sz w:val="20"/>
                <w:szCs w:val="18"/>
                <w:lang w:val="en-US"/>
              </w:rPr>
              <w:t xml:space="preserve">Completed –Given </w:t>
            </w:r>
          </w:p>
        </w:tc>
        <w:tc>
          <w:tcPr>
            <w:tcW w:w="1242" w:type="dxa"/>
          </w:tcPr>
          <w:p w:rsidR="00822681" w:rsidRDefault="00822681">
            <w:pPr>
              <w:pStyle w:val="BodyTextIndent"/>
              <w:spacing w:before="240"/>
              <w:ind w:left="0" w:right="26"/>
              <w:jc w:val="both"/>
              <w:rPr>
                <w:bCs/>
                <w:sz w:val="20"/>
                <w:lang w:val="en-US"/>
              </w:rPr>
            </w:pPr>
            <w:r>
              <w:rPr>
                <w:bCs/>
                <w:sz w:val="20"/>
                <w:lang w:val="en-US"/>
              </w:rPr>
              <w:t>787</w:t>
            </w:r>
          </w:p>
        </w:tc>
        <w:tc>
          <w:tcPr>
            <w:tcW w:w="1320" w:type="dxa"/>
          </w:tcPr>
          <w:p w:rsidR="00822681" w:rsidRDefault="00822681">
            <w:pPr>
              <w:pStyle w:val="BodyTextIndent"/>
              <w:spacing w:before="240"/>
              <w:ind w:left="0" w:right="26"/>
              <w:jc w:val="both"/>
              <w:rPr>
                <w:bCs/>
                <w:sz w:val="20"/>
                <w:lang w:val="en-US"/>
              </w:rPr>
            </w:pPr>
            <w:r>
              <w:rPr>
                <w:bCs/>
                <w:sz w:val="20"/>
                <w:lang w:val="en-US"/>
              </w:rPr>
              <w:t>570</w:t>
            </w:r>
          </w:p>
        </w:tc>
        <w:tc>
          <w:tcPr>
            <w:tcW w:w="1320" w:type="dxa"/>
          </w:tcPr>
          <w:p w:rsidR="00822681" w:rsidRDefault="00822681">
            <w:pPr>
              <w:pStyle w:val="BodyTextIndent"/>
              <w:spacing w:before="240"/>
              <w:ind w:left="0" w:right="26"/>
              <w:jc w:val="both"/>
              <w:rPr>
                <w:bCs/>
                <w:sz w:val="20"/>
                <w:lang w:val="en-US"/>
              </w:rPr>
            </w:pPr>
            <w:r>
              <w:rPr>
                <w:bCs/>
                <w:sz w:val="20"/>
                <w:lang w:val="en-US"/>
              </w:rPr>
              <w:t>664</w:t>
            </w:r>
          </w:p>
        </w:tc>
        <w:tc>
          <w:tcPr>
            <w:tcW w:w="1320" w:type="dxa"/>
          </w:tcPr>
          <w:p w:rsidR="00822681" w:rsidRDefault="00822681">
            <w:pPr>
              <w:pStyle w:val="BodyTextIndent"/>
              <w:spacing w:before="240"/>
              <w:ind w:left="0" w:right="26"/>
              <w:jc w:val="both"/>
              <w:rPr>
                <w:bCs/>
                <w:sz w:val="20"/>
                <w:lang w:val="en-US"/>
              </w:rPr>
            </w:pPr>
            <w:r>
              <w:rPr>
                <w:bCs/>
                <w:sz w:val="20"/>
                <w:lang w:val="en-US"/>
              </w:rPr>
              <w:t>454</w:t>
            </w:r>
          </w:p>
        </w:tc>
        <w:tc>
          <w:tcPr>
            <w:tcW w:w="1320" w:type="dxa"/>
          </w:tcPr>
          <w:p w:rsidR="00822681" w:rsidRDefault="00822681">
            <w:pPr>
              <w:pStyle w:val="BodyTextIndent"/>
              <w:spacing w:before="120"/>
              <w:ind w:left="0" w:right="26"/>
              <w:jc w:val="both"/>
              <w:rPr>
                <w:bCs/>
                <w:sz w:val="20"/>
                <w:lang w:val="en-US"/>
              </w:rPr>
            </w:pPr>
            <w:r>
              <w:rPr>
                <w:bCs/>
                <w:sz w:val="20"/>
                <w:lang w:val="en-US"/>
              </w:rPr>
              <w:t>404</w:t>
            </w:r>
          </w:p>
        </w:tc>
      </w:tr>
      <w:tr w:rsidR="00822681">
        <w:trPr>
          <w:cantSplit/>
          <w:trHeight w:val="130"/>
        </w:trPr>
        <w:tc>
          <w:tcPr>
            <w:tcW w:w="1724" w:type="dxa"/>
            <w:vMerge/>
          </w:tcPr>
          <w:p w:rsidR="00822681" w:rsidRDefault="00822681">
            <w:pPr>
              <w:pStyle w:val="BodyTextIndent"/>
              <w:ind w:left="0" w:right="26"/>
              <w:jc w:val="both"/>
              <w:rPr>
                <w:bCs/>
                <w:sz w:val="20"/>
                <w:szCs w:val="20"/>
                <w:lang w:val="en-US"/>
              </w:rPr>
            </w:pPr>
          </w:p>
        </w:tc>
        <w:tc>
          <w:tcPr>
            <w:tcW w:w="1440" w:type="dxa"/>
          </w:tcPr>
          <w:p w:rsidR="00822681" w:rsidRDefault="00822681">
            <w:pPr>
              <w:ind w:right="26"/>
              <w:jc w:val="both"/>
              <w:rPr>
                <w:sz w:val="20"/>
                <w:szCs w:val="18"/>
                <w:lang w:val="en-US"/>
              </w:rPr>
            </w:pPr>
            <w:r>
              <w:rPr>
                <w:sz w:val="20"/>
                <w:szCs w:val="18"/>
                <w:lang w:val="en-US"/>
              </w:rPr>
              <w:t xml:space="preserve">Expenditure </w:t>
            </w:r>
          </w:p>
        </w:tc>
        <w:tc>
          <w:tcPr>
            <w:tcW w:w="1242" w:type="dxa"/>
          </w:tcPr>
          <w:p w:rsidR="00822681" w:rsidRDefault="00822681">
            <w:pPr>
              <w:pStyle w:val="BodyTextIndent"/>
              <w:spacing w:before="120"/>
              <w:ind w:left="0" w:right="26"/>
              <w:jc w:val="both"/>
              <w:rPr>
                <w:bCs/>
                <w:sz w:val="20"/>
                <w:lang w:val="en-US"/>
              </w:rPr>
            </w:pPr>
            <w:r>
              <w:rPr>
                <w:bCs/>
                <w:sz w:val="20"/>
                <w:lang w:val="en-US"/>
              </w:rPr>
              <w:t>59.285.643</w:t>
            </w:r>
          </w:p>
        </w:tc>
        <w:tc>
          <w:tcPr>
            <w:tcW w:w="1320" w:type="dxa"/>
          </w:tcPr>
          <w:p w:rsidR="00822681" w:rsidRDefault="00822681">
            <w:pPr>
              <w:pStyle w:val="BodyTextIndent"/>
              <w:spacing w:before="120"/>
              <w:ind w:left="0" w:right="26"/>
              <w:jc w:val="both"/>
              <w:rPr>
                <w:bCs/>
                <w:sz w:val="20"/>
                <w:lang w:val="en-US"/>
              </w:rPr>
            </w:pPr>
            <w:r>
              <w:rPr>
                <w:bCs/>
                <w:sz w:val="20"/>
                <w:lang w:val="en-US"/>
              </w:rPr>
              <w:t>71.994.042</w:t>
            </w:r>
          </w:p>
        </w:tc>
        <w:tc>
          <w:tcPr>
            <w:tcW w:w="1320" w:type="dxa"/>
          </w:tcPr>
          <w:p w:rsidR="00822681" w:rsidRDefault="00822681">
            <w:pPr>
              <w:pStyle w:val="BodyTextIndent"/>
              <w:spacing w:before="120"/>
              <w:ind w:left="0" w:right="26"/>
              <w:jc w:val="both"/>
              <w:rPr>
                <w:bCs/>
                <w:sz w:val="20"/>
                <w:lang w:val="en-US"/>
              </w:rPr>
            </w:pPr>
            <w:r>
              <w:rPr>
                <w:bCs/>
                <w:sz w:val="20"/>
                <w:lang w:val="en-US"/>
              </w:rPr>
              <w:t>53.249.418</w:t>
            </w:r>
          </w:p>
        </w:tc>
        <w:tc>
          <w:tcPr>
            <w:tcW w:w="1320" w:type="dxa"/>
          </w:tcPr>
          <w:p w:rsidR="00822681" w:rsidRDefault="00822681">
            <w:pPr>
              <w:pStyle w:val="BodyTextIndent"/>
              <w:spacing w:before="120"/>
              <w:ind w:left="0" w:right="26"/>
              <w:jc w:val="both"/>
              <w:rPr>
                <w:bCs/>
                <w:sz w:val="20"/>
                <w:lang w:val="en-US"/>
              </w:rPr>
            </w:pPr>
            <w:r>
              <w:rPr>
                <w:bCs/>
                <w:sz w:val="20"/>
                <w:lang w:val="en-US"/>
              </w:rPr>
              <w:t>53.995.562</w:t>
            </w:r>
          </w:p>
        </w:tc>
        <w:tc>
          <w:tcPr>
            <w:tcW w:w="1320" w:type="dxa"/>
          </w:tcPr>
          <w:p w:rsidR="00822681" w:rsidRDefault="00822681">
            <w:pPr>
              <w:pStyle w:val="BodyTextIndent"/>
              <w:spacing w:before="120"/>
              <w:ind w:left="0" w:right="26"/>
              <w:jc w:val="both"/>
              <w:rPr>
                <w:bCs/>
                <w:sz w:val="20"/>
                <w:lang w:val="en-US"/>
              </w:rPr>
            </w:pPr>
            <w:r>
              <w:rPr>
                <w:bCs/>
                <w:sz w:val="20"/>
                <w:lang w:val="en-US"/>
              </w:rPr>
              <w:t>42.027.625</w:t>
            </w:r>
          </w:p>
        </w:tc>
      </w:tr>
      <w:tr w:rsidR="00822681">
        <w:trPr>
          <w:cantSplit/>
          <w:trHeight w:val="580"/>
        </w:trPr>
        <w:tc>
          <w:tcPr>
            <w:tcW w:w="1724" w:type="dxa"/>
            <w:vMerge w:val="restart"/>
          </w:tcPr>
          <w:p w:rsidR="00822681" w:rsidRDefault="00822681">
            <w:pPr>
              <w:pStyle w:val="BodyTextIndent"/>
              <w:spacing w:before="120"/>
              <w:ind w:left="0" w:right="26"/>
              <w:jc w:val="both"/>
              <w:rPr>
                <w:bCs/>
                <w:sz w:val="20"/>
                <w:szCs w:val="20"/>
                <w:lang w:val="en-US"/>
              </w:rPr>
            </w:pPr>
            <w:r>
              <w:rPr>
                <w:bCs/>
                <w:sz w:val="20"/>
                <w:szCs w:val="20"/>
                <w:lang w:val="en-US"/>
              </w:rPr>
              <w:t xml:space="preserve">2. Interest Subsidy  Loans </w:t>
            </w:r>
            <w:r>
              <w:rPr>
                <w:bCs/>
                <w:sz w:val="20"/>
                <w:szCs w:val="20"/>
                <w:lang w:val="en-US"/>
              </w:rPr>
              <w:lastRenderedPageBreak/>
              <w:t xml:space="preserve">house purchase or construction </w:t>
            </w:r>
          </w:p>
          <w:p w:rsidR="00822681" w:rsidRDefault="00822681">
            <w:pPr>
              <w:pStyle w:val="BodyTextIndent"/>
              <w:ind w:left="0" w:right="26"/>
              <w:jc w:val="both"/>
              <w:rPr>
                <w:bCs/>
                <w:sz w:val="20"/>
                <w:szCs w:val="20"/>
                <w:lang w:val="en-US"/>
              </w:rPr>
            </w:pPr>
            <w:r>
              <w:rPr>
                <w:bCs/>
                <w:sz w:val="20"/>
                <w:szCs w:val="20"/>
                <w:lang w:val="en-US"/>
              </w:rPr>
              <w:t xml:space="preserve">    </w:t>
            </w:r>
          </w:p>
        </w:tc>
        <w:tc>
          <w:tcPr>
            <w:tcW w:w="1440" w:type="dxa"/>
          </w:tcPr>
          <w:p w:rsidR="00822681" w:rsidRDefault="00822681">
            <w:pPr>
              <w:pStyle w:val="BodyTextIndent"/>
              <w:spacing w:before="240"/>
              <w:ind w:left="0" w:right="26"/>
              <w:jc w:val="both"/>
              <w:rPr>
                <w:bCs/>
                <w:sz w:val="20"/>
                <w:szCs w:val="16"/>
                <w:lang w:val="en-US"/>
              </w:rPr>
            </w:pPr>
            <w:r>
              <w:rPr>
                <w:bCs/>
                <w:sz w:val="20"/>
                <w:szCs w:val="16"/>
                <w:lang w:val="en-US"/>
              </w:rPr>
              <w:lastRenderedPageBreak/>
              <w:t xml:space="preserve">Approvals </w:t>
            </w:r>
          </w:p>
        </w:tc>
        <w:tc>
          <w:tcPr>
            <w:tcW w:w="1242" w:type="dxa"/>
          </w:tcPr>
          <w:p w:rsidR="00822681" w:rsidRDefault="00822681">
            <w:pPr>
              <w:pStyle w:val="BodyTextIndent"/>
              <w:spacing w:before="240"/>
              <w:ind w:left="0" w:right="26"/>
              <w:jc w:val="both"/>
              <w:rPr>
                <w:bCs/>
                <w:sz w:val="20"/>
                <w:lang w:val="en-US"/>
              </w:rPr>
            </w:pPr>
            <w:r>
              <w:rPr>
                <w:bCs/>
                <w:sz w:val="20"/>
                <w:lang w:val="en-US"/>
              </w:rPr>
              <w:t>12.156</w:t>
            </w:r>
          </w:p>
        </w:tc>
        <w:tc>
          <w:tcPr>
            <w:tcW w:w="1320" w:type="dxa"/>
          </w:tcPr>
          <w:p w:rsidR="00822681" w:rsidRDefault="00822681">
            <w:pPr>
              <w:pStyle w:val="BodyTextIndent"/>
              <w:spacing w:before="240"/>
              <w:ind w:left="0" w:right="26"/>
              <w:jc w:val="both"/>
              <w:rPr>
                <w:bCs/>
                <w:sz w:val="20"/>
                <w:lang w:val="en-US"/>
              </w:rPr>
            </w:pPr>
            <w:r>
              <w:rPr>
                <w:bCs/>
                <w:sz w:val="20"/>
                <w:lang w:val="en-US"/>
              </w:rPr>
              <w:t>16.559</w:t>
            </w:r>
          </w:p>
        </w:tc>
        <w:tc>
          <w:tcPr>
            <w:tcW w:w="1320" w:type="dxa"/>
          </w:tcPr>
          <w:p w:rsidR="00822681" w:rsidRDefault="00822681">
            <w:pPr>
              <w:pStyle w:val="BodyTextIndent"/>
              <w:spacing w:before="240"/>
              <w:ind w:left="0" w:right="26"/>
              <w:jc w:val="both"/>
              <w:rPr>
                <w:bCs/>
                <w:sz w:val="20"/>
                <w:lang w:val="en-US"/>
              </w:rPr>
            </w:pPr>
            <w:r>
              <w:rPr>
                <w:bCs/>
                <w:sz w:val="20"/>
                <w:lang w:val="en-US"/>
              </w:rPr>
              <w:t>13.847</w:t>
            </w:r>
          </w:p>
        </w:tc>
        <w:tc>
          <w:tcPr>
            <w:tcW w:w="1320" w:type="dxa"/>
          </w:tcPr>
          <w:p w:rsidR="00822681" w:rsidRDefault="00822681">
            <w:pPr>
              <w:pStyle w:val="BodyTextIndent"/>
              <w:spacing w:before="240"/>
              <w:ind w:left="0" w:right="26"/>
              <w:jc w:val="both"/>
              <w:rPr>
                <w:bCs/>
                <w:sz w:val="20"/>
                <w:lang w:val="en-US"/>
              </w:rPr>
            </w:pPr>
            <w:r>
              <w:rPr>
                <w:bCs/>
                <w:sz w:val="20"/>
                <w:lang w:val="en-US"/>
              </w:rPr>
              <w:t>11.296</w:t>
            </w:r>
          </w:p>
        </w:tc>
        <w:tc>
          <w:tcPr>
            <w:tcW w:w="1320" w:type="dxa"/>
          </w:tcPr>
          <w:p w:rsidR="00822681" w:rsidRDefault="00822681">
            <w:pPr>
              <w:pStyle w:val="BodyTextIndent"/>
              <w:spacing w:before="240"/>
              <w:ind w:left="0" w:right="26"/>
              <w:jc w:val="both"/>
              <w:rPr>
                <w:bCs/>
                <w:sz w:val="20"/>
                <w:lang w:val="en-US"/>
              </w:rPr>
            </w:pPr>
            <w:r>
              <w:rPr>
                <w:bCs/>
                <w:sz w:val="20"/>
                <w:lang w:val="en-US"/>
              </w:rPr>
              <w:t>16.370</w:t>
            </w:r>
          </w:p>
        </w:tc>
      </w:tr>
      <w:tr w:rsidR="00822681">
        <w:trPr>
          <w:cantSplit/>
          <w:trHeight w:val="647"/>
        </w:trPr>
        <w:tc>
          <w:tcPr>
            <w:tcW w:w="1724" w:type="dxa"/>
            <w:vMerge/>
          </w:tcPr>
          <w:p w:rsidR="00822681" w:rsidRDefault="00822681">
            <w:pPr>
              <w:pStyle w:val="BodyTextIndent"/>
              <w:spacing w:before="120"/>
              <w:ind w:left="0" w:right="26"/>
              <w:jc w:val="both"/>
              <w:rPr>
                <w:bCs/>
                <w:sz w:val="20"/>
                <w:szCs w:val="20"/>
                <w:lang w:val="en-US"/>
              </w:rPr>
            </w:pPr>
          </w:p>
        </w:tc>
        <w:tc>
          <w:tcPr>
            <w:tcW w:w="1440" w:type="dxa"/>
          </w:tcPr>
          <w:p w:rsidR="00822681" w:rsidRDefault="00822681">
            <w:pPr>
              <w:pStyle w:val="BodyTextIndent"/>
              <w:spacing w:before="240"/>
              <w:ind w:left="0" w:right="26"/>
              <w:jc w:val="both"/>
              <w:rPr>
                <w:bCs/>
                <w:sz w:val="20"/>
                <w:szCs w:val="16"/>
                <w:lang w:val="en-US"/>
              </w:rPr>
            </w:pPr>
            <w:r>
              <w:rPr>
                <w:bCs/>
                <w:sz w:val="20"/>
                <w:szCs w:val="16"/>
                <w:lang w:val="en-US"/>
              </w:rPr>
              <w:t xml:space="preserve">Expenditure </w:t>
            </w:r>
          </w:p>
        </w:tc>
        <w:tc>
          <w:tcPr>
            <w:tcW w:w="1242" w:type="dxa"/>
          </w:tcPr>
          <w:p w:rsidR="00822681" w:rsidRDefault="00822681">
            <w:pPr>
              <w:pStyle w:val="BodyTextIndent"/>
              <w:spacing w:before="240"/>
              <w:ind w:left="0" w:right="26"/>
              <w:jc w:val="both"/>
              <w:rPr>
                <w:bCs/>
                <w:sz w:val="20"/>
                <w:lang w:val="en-US"/>
              </w:rPr>
            </w:pPr>
            <w:r>
              <w:rPr>
                <w:bCs/>
                <w:sz w:val="20"/>
                <w:lang w:val="en-US"/>
              </w:rPr>
              <w:t>42.177.538</w:t>
            </w:r>
          </w:p>
        </w:tc>
        <w:tc>
          <w:tcPr>
            <w:tcW w:w="1320" w:type="dxa"/>
          </w:tcPr>
          <w:p w:rsidR="00822681" w:rsidRDefault="00822681">
            <w:pPr>
              <w:pStyle w:val="BodyTextIndent"/>
              <w:spacing w:before="240"/>
              <w:ind w:left="0" w:right="26"/>
              <w:jc w:val="both"/>
              <w:rPr>
                <w:bCs/>
                <w:sz w:val="20"/>
                <w:lang w:val="en-US"/>
              </w:rPr>
            </w:pPr>
            <w:r>
              <w:rPr>
                <w:bCs/>
                <w:sz w:val="20"/>
                <w:lang w:val="en-US"/>
              </w:rPr>
              <w:t>57.697.614</w:t>
            </w:r>
          </w:p>
        </w:tc>
        <w:tc>
          <w:tcPr>
            <w:tcW w:w="1320" w:type="dxa"/>
          </w:tcPr>
          <w:p w:rsidR="00822681" w:rsidRDefault="00822681">
            <w:pPr>
              <w:pStyle w:val="BodyTextIndent"/>
              <w:spacing w:before="240"/>
              <w:ind w:left="0" w:right="26"/>
              <w:jc w:val="both"/>
              <w:rPr>
                <w:bCs/>
                <w:sz w:val="20"/>
                <w:lang w:val="en-US"/>
              </w:rPr>
            </w:pPr>
            <w:r>
              <w:rPr>
                <w:bCs/>
                <w:sz w:val="20"/>
                <w:lang w:val="en-US"/>
              </w:rPr>
              <w:t>81.735.390</w:t>
            </w:r>
          </w:p>
        </w:tc>
        <w:tc>
          <w:tcPr>
            <w:tcW w:w="1320" w:type="dxa"/>
          </w:tcPr>
          <w:p w:rsidR="00822681" w:rsidRDefault="00822681">
            <w:pPr>
              <w:pStyle w:val="BodyTextIndent"/>
              <w:spacing w:before="240"/>
              <w:ind w:left="0" w:right="26"/>
              <w:jc w:val="both"/>
              <w:rPr>
                <w:bCs/>
                <w:sz w:val="20"/>
                <w:lang w:val="en-US"/>
              </w:rPr>
            </w:pPr>
            <w:r>
              <w:rPr>
                <w:bCs/>
                <w:sz w:val="20"/>
                <w:lang w:val="en-US"/>
              </w:rPr>
              <w:t>104.748.041</w:t>
            </w:r>
          </w:p>
        </w:tc>
        <w:tc>
          <w:tcPr>
            <w:tcW w:w="1320" w:type="dxa"/>
          </w:tcPr>
          <w:p w:rsidR="00822681" w:rsidRDefault="00822681">
            <w:pPr>
              <w:pStyle w:val="BodyTextIndent"/>
              <w:spacing w:before="240"/>
              <w:ind w:left="0" w:right="26"/>
              <w:jc w:val="both"/>
              <w:rPr>
                <w:bCs/>
                <w:sz w:val="20"/>
                <w:lang w:val="en-US"/>
              </w:rPr>
            </w:pPr>
            <w:r>
              <w:rPr>
                <w:bCs/>
                <w:sz w:val="20"/>
                <w:lang w:val="en-US"/>
              </w:rPr>
              <w:t>157.926.521</w:t>
            </w:r>
          </w:p>
        </w:tc>
      </w:tr>
      <w:tr w:rsidR="00822681">
        <w:trPr>
          <w:cantSplit/>
          <w:trHeight w:val="580"/>
        </w:trPr>
        <w:tc>
          <w:tcPr>
            <w:tcW w:w="1724" w:type="dxa"/>
            <w:vMerge w:val="restart"/>
          </w:tcPr>
          <w:p w:rsidR="00822681" w:rsidRDefault="00822681">
            <w:pPr>
              <w:pStyle w:val="BodyTextIndent"/>
              <w:ind w:left="0" w:right="26"/>
              <w:jc w:val="both"/>
              <w:rPr>
                <w:bCs/>
                <w:sz w:val="20"/>
                <w:szCs w:val="20"/>
                <w:lang w:val="en-US"/>
              </w:rPr>
            </w:pPr>
            <w:r>
              <w:rPr>
                <w:bCs/>
                <w:sz w:val="20"/>
                <w:szCs w:val="20"/>
                <w:lang w:val="en-US"/>
              </w:rPr>
              <w:lastRenderedPageBreak/>
              <w:t xml:space="preserve">3. No interest loans for house repairs- expansion or  completion </w:t>
            </w:r>
          </w:p>
          <w:p w:rsidR="00822681" w:rsidRDefault="00822681">
            <w:pPr>
              <w:pStyle w:val="BodyTextIndent"/>
              <w:ind w:left="0" w:right="26"/>
              <w:jc w:val="both"/>
              <w:rPr>
                <w:bCs/>
                <w:sz w:val="20"/>
                <w:szCs w:val="20"/>
                <w:lang w:val="en-US"/>
              </w:rPr>
            </w:pPr>
            <w:r>
              <w:rPr>
                <w:bCs/>
                <w:sz w:val="20"/>
                <w:szCs w:val="20"/>
                <w:lang w:val="en-US"/>
              </w:rPr>
              <w:t xml:space="preserve"> </w:t>
            </w:r>
          </w:p>
          <w:p w:rsidR="00822681" w:rsidRDefault="00822681">
            <w:pPr>
              <w:pStyle w:val="BodyTextIndent"/>
              <w:ind w:left="0" w:right="26"/>
              <w:jc w:val="both"/>
              <w:rPr>
                <w:bCs/>
                <w:sz w:val="20"/>
                <w:szCs w:val="20"/>
                <w:lang w:val="en-US"/>
              </w:rPr>
            </w:pPr>
            <w:r>
              <w:rPr>
                <w:bCs/>
                <w:sz w:val="20"/>
                <w:szCs w:val="20"/>
                <w:lang w:val="en-US"/>
              </w:rPr>
              <w:t xml:space="preserve"> and Special Programme to beneficiaries with many children and beneficiaries with diability </w:t>
            </w:r>
          </w:p>
        </w:tc>
        <w:tc>
          <w:tcPr>
            <w:tcW w:w="1440" w:type="dxa"/>
          </w:tcPr>
          <w:p w:rsidR="00822681" w:rsidRDefault="00822681">
            <w:pPr>
              <w:pStyle w:val="BodyTextIndent"/>
              <w:spacing w:before="240"/>
              <w:ind w:left="0" w:right="26"/>
              <w:jc w:val="both"/>
              <w:rPr>
                <w:bCs/>
                <w:sz w:val="20"/>
                <w:szCs w:val="16"/>
                <w:lang w:val="en-US"/>
              </w:rPr>
            </w:pPr>
          </w:p>
          <w:p w:rsidR="00822681" w:rsidRDefault="00822681">
            <w:pPr>
              <w:pStyle w:val="BodyTextIndent"/>
              <w:spacing w:before="120"/>
              <w:ind w:left="0" w:right="26"/>
              <w:jc w:val="both"/>
              <w:rPr>
                <w:bCs/>
                <w:sz w:val="20"/>
                <w:szCs w:val="16"/>
                <w:lang w:val="en-US"/>
              </w:rPr>
            </w:pPr>
            <w:r>
              <w:rPr>
                <w:bCs/>
                <w:sz w:val="20"/>
                <w:szCs w:val="16"/>
                <w:lang w:val="en-US"/>
              </w:rPr>
              <w:t xml:space="preserve">Approvals </w:t>
            </w:r>
          </w:p>
          <w:p w:rsidR="00822681" w:rsidRDefault="00822681">
            <w:pPr>
              <w:pStyle w:val="BodyTextIndent"/>
              <w:spacing w:before="240"/>
              <w:ind w:left="0" w:right="26"/>
              <w:jc w:val="both"/>
              <w:rPr>
                <w:bCs/>
                <w:sz w:val="20"/>
                <w:szCs w:val="16"/>
                <w:lang w:val="en-US"/>
              </w:rPr>
            </w:pPr>
          </w:p>
        </w:tc>
        <w:tc>
          <w:tcPr>
            <w:tcW w:w="1242" w:type="dxa"/>
          </w:tcPr>
          <w:p w:rsidR="00822681" w:rsidRDefault="00822681">
            <w:pPr>
              <w:pStyle w:val="BodyTextIndent"/>
              <w:spacing w:before="480"/>
              <w:ind w:left="0" w:right="26"/>
              <w:jc w:val="both"/>
              <w:rPr>
                <w:bCs/>
                <w:sz w:val="20"/>
                <w:lang w:val="en-US"/>
              </w:rPr>
            </w:pPr>
            <w:r>
              <w:rPr>
                <w:bCs/>
                <w:sz w:val="20"/>
                <w:lang w:val="en-US"/>
              </w:rPr>
              <w:t>3.295</w:t>
            </w:r>
          </w:p>
        </w:tc>
        <w:tc>
          <w:tcPr>
            <w:tcW w:w="1320" w:type="dxa"/>
          </w:tcPr>
          <w:p w:rsidR="00822681" w:rsidRDefault="00822681">
            <w:pPr>
              <w:pStyle w:val="BodyTextIndent"/>
              <w:spacing w:before="480"/>
              <w:ind w:left="0" w:right="26"/>
              <w:jc w:val="both"/>
              <w:rPr>
                <w:bCs/>
                <w:sz w:val="20"/>
                <w:lang w:val="en-US"/>
              </w:rPr>
            </w:pPr>
            <w:r>
              <w:rPr>
                <w:bCs/>
                <w:sz w:val="20"/>
                <w:lang w:val="en-US"/>
              </w:rPr>
              <w:t xml:space="preserve">2.332 </w:t>
            </w:r>
          </w:p>
        </w:tc>
        <w:tc>
          <w:tcPr>
            <w:tcW w:w="1320" w:type="dxa"/>
          </w:tcPr>
          <w:p w:rsidR="00822681" w:rsidRDefault="00822681">
            <w:pPr>
              <w:pStyle w:val="BodyTextIndent"/>
              <w:spacing w:before="480"/>
              <w:ind w:left="0" w:right="26"/>
              <w:jc w:val="both"/>
              <w:rPr>
                <w:bCs/>
                <w:sz w:val="20"/>
                <w:lang w:val="en-US"/>
              </w:rPr>
            </w:pPr>
            <w:r>
              <w:rPr>
                <w:bCs/>
                <w:sz w:val="20"/>
                <w:lang w:val="en-US"/>
              </w:rPr>
              <w:t>3.955</w:t>
            </w:r>
          </w:p>
        </w:tc>
        <w:tc>
          <w:tcPr>
            <w:tcW w:w="1320" w:type="dxa"/>
          </w:tcPr>
          <w:p w:rsidR="00822681" w:rsidRDefault="00822681">
            <w:pPr>
              <w:pStyle w:val="BodyTextIndent"/>
              <w:spacing w:before="480"/>
              <w:ind w:left="0" w:right="26"/>
              <w:jc w:val="both"/>
              <w:rPr>
                <w:bCs/>
                <w:sz w:val="20"/>
                <w:lang w:val="en-US"/>
              </w:rPr>
            </w:pPr>
            <w:r>
              <w:rPr>
                <w:bCs/>
                <w:sz w:val="20"/>
                <w:lang w:val="en-US"/>
              </w:rPr>
              <w:t>9864</w:t>
            </w:r>
          </w:p>
        </w:tc>
        <w:tc>
          <w:tcPr>
            <w:tcW w:w="1320" w:type="dxa"/>
          </w:tcPr>
          <w:p w:rsidR="00822681" w:rsidRDefault="00822681">
            <w:pPr>
              <w:pStyle w:val="BodyTextIndent"/>
              <w:spacing w:before="480"/>
              <w:ind w:left="0" w:right="26"/>
              <w:jc w:val="both"/>
              <w:rPr>
                <w:bCs/>
                <w:sz w:val="20"/>
                <w:lang w:val="en-US"/>
              </w:rPr>
            </w:pPr>
            <w:r>
              <w:rPr>
                <w:bCs/>
                <w:sz w:val="20"/>
                <w:lang w:val="en-US"/>
              </w:rPr>
              <w:t>7.889</w:t>
            </w:r>
          </w:p>
        </w:tc>
      </w:tr>
      <w:tr w:rsidR="00822681">
        <w:trPr>
          <w:cantSplit/>
          <w:trHeight w:val="580"/>
        </w:trPr>
        <w:tc>
          <w:tcPr>
            <w:tcW w:w="1724" w:type="dxa"/>
            <w:vMerge/>
          </w:tcPr>
          <w:p w:rsidR="00822681" w:rsidRDefault="00822681">
            <w:pPr>
              <w:pStyle w:val="BodyTextIndent"/>
              <w:spacing w:before="120"/>
              <w:ind w:left="0" w:right="26"/>
              <w:jc w:val="both"/>
              <w:rPr>
                <w:bCs/>
                <w:sz w:val="20"/>
                <w:lang w:val="en-US"/>
              </w:rPr>
            </w:pPr>
          </w:p>
        </w:tc>
        <w:tc>
          <w:tcPr>
            <w:tcW w:w="1440" w:type="dxa"/>
          </w:tcPr>
          <w:p w:rsidR="00822681" w:rsidRDefault="00822681">
            <w:pPr>
              <w:pStyle w:val="BodyTextIndent"/>
              <w:spacing w:before="360"/>
              <w:ind w:left="0" w:right="26"/>
              <w:jc w:val="both"/>
              <w:rPr>
                <w:bCs/>
                <w:sz w:val="20"/>
                <w:szCs w:val="16"/>
                <w:lang w:val="en-US"/>
              </w:rPr>
            </w:pPr>
            <w:r>
              <w:rPr>
                <w:bCs/>
                <w:sz w:val="20"/>
                <w:szCs w:val="16"/>
                <w:lang w:val="en-US"/>
              </w:rPr>
              <w:t xml:space="preserve">Expenditure </w:t>
            </w:r>
          </w:p>
        </w:tc>
        <w:tc>
          <w:tcPr>
            <w:tcW w:w="1242" w:type="dxa"/>
          </w:tcPr>
          <w:p w:rsidR="00822681" w:rsidRDefault="00822681">
            <w:pPr>
              <w:pStyle w:val="BodyTextIndent"/>
              <w:spacing w:before="360"/>
              <w:ind w:left="0" w:right="26"/>
              <w:jc w:val="both"/>
              <w:rPr>
                <w:bCs/>
                <w:sz w:val="20"/>
                <w:lang w:val="en-US"/>
              </w:rPr>
            </w:pPr>
            <w:r>
              <w:rPr>
                <w:bCs/>
                <w:sz w:val="20"/>
                <w:lang w:val="en-US"/>
              </w:rPr>
              <w:t>48.294.055</w:t>
            </w:r>
          </w:p>
        </w:tc>
        <w:tc>
          <w:tcPr>
            <w:tcW w:w="1320" w:type="dxa"/>
          </w:tcPr>
          <w:p w:rsidR="00822681" w:rsidRDefault="00822681">
            <w:pPr>
              <w:pStyle w:val="BodyTextIndent"/>
              <w:spacing w:before="360"/>
              <w:ind w:left="0" w:right="26"/>
              <w:jc w:val="both"/>
              <w:rPr>
                <w:bCs/>
                <w:sz w:val="20"/>
                <w:lang w:val="en-US"/>
              </w:rPr>
            </w:pPr>
            <w:r>
              <w:rPr>
                <w:bCs/>
                <w:sz w:val="20"/>
                <w:lang w:val="en-US"/>
              </w:rPr>
              <w:t>50.369.549</w:t>
            </w:r>
          </w:p>
        </w:tc>
        <w:tc>
          <w:tcPr>
            <w:tcW w:w="1320" w:type="dxa"/>
          </w:tcPr>
          <w:p w:rsidR="00822681" w:rsidRDefault="00822681">
            <w:pPr>
              <w:pStyle w:val="BodyTextIndent"/>
              <w:spacing w:before="360"/>
              <w:ind w:left="0" w:right="26"/>
              <w:jc w:val="both"/>
              <w:rPr>
                <w:bCs/>
                <w:sz w:val="20"/>
                <w:lang w:val="en-US"/>
              </w:rPr>
            </w:pPr>
            <w:r>
              <w:rPr>
                <w:bCs/>
                <w:sz w:val="20"/>
                <w:lang w:val="en-US"/>
              </w:rPr>
              <w:t>109.319.808</w:t>
            </w:r>
          </w:p>
        </w:tc>
        <w:tc>
          <w:tcPr>
            <w:tcW w:w="1320" w:type="dxa"/>
          </w:tcPr>
          <w:p w:rsidR="00822681" w:rsidRDefault="00822681">
            <w:pPr>
              <w:pStyle w:val="BodyTextIndent"/>
              <w:spacing w:before="360"/>
              <w:ind w:left="0" w:right="26"/>
              <w:jc w:val="both"/>
              <w:rPr>
                <w:bCs/>
                <w:sz w:val="20"/>
                <w:lang w:val="en-US"/>
              </w:rPr>
            </w:pPr>
            <w:r>
              <w:rPr>
                <w:bCs/>
                <w:sz w:val="20"/>
                <w:lang w:val="en-US"/>
              </w:rPr>
              <w:t>185.895.418</w:t>
            </w:r>
          </w:p>
        </w:tc>
        <w:tc>
          <w:tcPr>
            <w:tcW w:w="1320" w:type="dxa"/>
          </w:tcPr>
          <w:p w:rsidR="00822681" w:rsidRDefault="00822681">
            <w:pPr>
              <w:pStyle w:val="BodyTextIndent"/>
              <w:spacing w:before="360"/>
              <w:ind w:left="0" w:right="26"/>
              <w:jc w:val="both"/>
              <w:rPr>
                <w:bCs/>
                <w:sz w:val="20"/>
                <w:lang w:val="en-US"/>
              </w:rPr>
            </w:pPr>
            <w:r>
              <w:rPr>
                <w:bCs/>
                <w:sz w:val="20"/>
                <w:lang w:val="en-US"/>
              </w:rPr>
              <w:t>343.067.758</w:t>
            </w:r>
          </w:p>
        </w:tc>
      </w:tr>
      <w:tr w:rsidR="00822681">
        <w:trPr>
          <w:cantSplit/>
        </w:trPr>
        <w:tc>
          <w:tcPr>
            <w:tcW w:w="1724" w:type="dxa"/>
            <w:vMerge w:val="restart"/>
          </w:tcPr>
          <w:p w:rsidR="00822681" w:rsidRDefault="00822681">
            <w:pPr>
              <w:pStyle w:val="BodyTextIndent"/>
              <w:ind w:left="0" w:right="26"/>
              <w:jc w:val="both"/>
              <w:rPr>
                <w:bCs/>
                <w:sz w:val="20"/>
                <w:lang w:val="en-US"/>
              </w:rPr>
            </w:pPr>
            <w:r>
              <w:rPr>
                <w:bCs/>
                <w:sz w:val="20"/>
                <w:szCs w:val="22"/>
                <w:lang w:val="en-US"/>
              </w:rPr>
              <w:t>4</w:t>
            </w:r>
            <w:r>
              <w:rPr>
                <w:bCs/>
                <w:sz w:val="20"/>
                <w:szCs w:val="20"/>
                <w:lang w:val="en-US"/>
              </w:rPr>
              <w:t>. Rent Subsidy</w:t>
            </w:r>
            <w:r>
              <w:rPr>
                <w:bCs/>
                <w:sz w:val="20"/>
                <w:szCs w:val="22"/>
                <w:lang w:val="en-US"/>
              </w:rPr>
              <w:t xml:space="preserve"> </w:t>
            </w:r>
          </w:p>
        </w:tc>
        <w:tc>
          <w:tcPr>
            <w:tcW w:w="1440" w:type="dxa"/>
          </w:tcPr>
          <w:p w:rsidR="00822681" w:rsidRDefault="00822681">
            <w:pPr>
              <w:pStyle w:val="BodyTextIndent"/>
              <w:spacing w:before="120"/>
              <w:ind w:left="0" w:right="26"/>
              <w:jc w:val="both"/>
              <w:rPr>
                <w:bCs/>
                <w:sz w:val="20"/>
                <w:szCs w:val="16"/>
                <w:lang w:val="en-US"/>
              </w:rPr>
            </w:pPr>
            <w:r>
              <w:rPr>
                <w:bCs/>
                <w:sz w:val="20"/>
                <w:szCs w:val="16"/>
                <w:lang w:val="en-US"/>
              </w:rPr>
              <w:t xml:space="preserve">Approvals </w:t>
            </w:r>
          </w:p>
        </w:tc>
        <w:tc>
          <w:tcPr>
            <w:tcW w:w="1242" w:type="dxa"/>
          </w:tcPr>
          <w:p w:rsidR="00822681" w:rsidRDefault="00822681">
            <w:pPr>
              <w:pStyle w:val="BodyTextIndent"/>
              <w:spacing w:before="120"/>
              <w:ind w:left="0" w:right="26"/>
              <w:jc w:val="both"/>
              <w:rPr>
                <w:bCs/>
                <w:sz w:val="20"/>
                <w:lang w:val="en-US"/>
              </w:rPr>
            </w:pPr>
            <w:r>
              <w:rPr>
                <w:bCs/>
                <w:sz w:val="20"/>
                <w:lang w:val="en-US"/>
              </w:rPr>
              <w:t>58.263</w:t>
            </w:r>
          </w:p>
        </w:tc>
        <w:tc>
          <w:tcPr>
            <w:tcW w:w="1320" w:type="dxa"/>
          </w:tcPr>
          <w:p w:rsidR="00822681" w:rsidRDefault="00822681">
            <w:pPr>
              <w:pStyle w:val="BodyTextIndent"/>
              <w:spacing w:before="120"/>
              <w:ind w:left="0" w:right="26"/>
              <w:jc w:val="both"/>
              <w:rPr>
                <w:bCs/>
                <w:sz w:val="20"/>
                <w:lang w:val="en-US"/>
              </w:rPr>
            </w:pPr>
            <w:r>
              <w:rPr>
                <w:bCs/>
                <w:sz w:val="20"/>
                <w:lang w:val="en-US"/>
              </w:rPr>
              <w:t>70.144</w:t>
            </w:r>
          </w:p>
        </w:tc>
        <w:tc>
          <w:tcPr>
            <w:tcW w:w="1320" w:type="dxa"/>
          </w:tcPr>
          <w:p w:rsidR="00822681" w:rsidRDefault="00822681">
            <w:pPr>
              <w:pStyle w:val="BodyTextIndent"/>
              <w:spacing w:before="120"/>
              <w:ind w:left="0" w:right="26"/>
              <w:jc w:val="both"/>
              <w:rPr>
                <w:bCs/>
                <w:sz w:val="20"/>
                <w:lang w:val="en-US"/>
              </w:rPr>
            </w:pPr>
            <w:r>
              <w:rPr>
                <w:bCs/>
                <w:sz w:val="20"/>
                <w:lang w:val="en-US"/>
              </w:rPr>
              <w:t>91.027</w:t>
            </w:r>
          </w:p>
        </w:tc>
        <w:tc>
          <w:tcPr>
            <w:tcW w:w="1320" w:type="dxa"/>
          </w:tcPr>
          <w:p w:rsidR="00822681" w:rsidRDefault="00822681">
            <w:pPr>
              <w:pStyle w:val="BodyTextIndent"/>
              <w:spacing w:before="120"/>
              <w:ind w:left="0" w:right="26"/>
              <w:jc w:val="both"/>
              <w:rPr>
                <w:bCs/>
                <w:sz w:val="20"/>
                <w:lang w:val="en-US"/>
              </w:rPr>
            </w:pPr>
            <w:r>
              <w:rPr>
                <w:bCs/>
                <w:sz w:val="20"/>
                <w:lang w:val="en-US"/>
              </w:rPr>
              <w:t>102.020</w:t>
            </w:r>
          </w:p>
        </w:tc>
        <w:tc>
          <w:tcPr>
            <w:tcW w:w="1320" w:type="dxa"/>
          </w:tcPr>
          <w:p w:rsidR="00822681" w:rsidRDefault="00822681">
            <w:pPr>
              <w:pStyle w:val="BodyTextIndent"/>
              <w:spacing w:before="120"/>
              <w:ind w:left="0" w:right="26"/>
              <w:jc w:val="both"/>
              <w:rPr>
                <w:bCs/>
                <w:sz w:val="20"/>
                <w:lang w:val="en-US"/>
              </w:rPr>
            </w:pPr>
            <w:r>
              <w:rPr>
                <w:bCs/>
                <w:sz w:val="20"/>
                <w:lang w:val="en-US"/>
              </w:rPr>
              <w:t>43.507</w:t>
            </w:r>
          </w:p>
        </w:tc>
      </w:tr>
      <w:tr w:rsidR="00822681">
        <w:trPr>
          <w:cantSplit/>
        </w:trPr>
        <w:tc>
          <w:tcPr>
            <w:tcW w:w="1724" w:type="dxa"/>
            <w:vMerge/>
          </w:tcPr>
          <w:p w:rsidR="00822681" w:rsidRDefault="00822681">
            <w:pPr>
              <w:pStyle w:val="BodyTextIndent"/>
              <w:spacing w:before="120"/>
              <w:ind w:left="0" w:right="26"/>
              <w:jc w:val="both"/>
              <w:rPr>
                <w:bCs/>
                <w:sz w:val="20"/>
                <w:szCs w:val="16"/>
                <w:lang w:val="en-US"/>
              </w:rPr>
            </w:pPr>
          </w:p>
        </w:tc>
        <w:tc>
          <w:tcPr>
            <w:tcW w:w="1440" w:type="dxa"/>
          </w:tcPr>
          <w:p w:rsidR="00822681" w:rsidRDefault="00822681">
            <w:pPr>
              <w:pStyle w:val="BodyTextIndent"/>
              <w:spacing w:before="120"/>
              <w:ind w:left="0" w:right="26"/>
              <w:jc w:val="both"/>
              <w:rPr>
                <w:bCs/>
                <w:sz w:val="20"/>
                <w:szCs w:val="16"/>
                <w:lang w:val="en-US"/>
              </w:rPr>
            </w:pPr>
            <w:r>
              <w:rPr>
                <w:bCs/>
                <w:sz w:val="20"/>
                <w:szCs w:val="16"/>
                <w:lang w:val="en-US"/>
              </w:rPr>
              <w:t xml:space="preserve">Expenditure </w:t>
            </w:r>
          </w:p>
        </w:tc>
        <w:tc>
          <w:tcPr>
            <w:tcW w:w="1242" w:type="dxa"/>
          </w:tcPr>
          <w:p w:rsidR="00822681" w:rsidRDefault="00822681">
            <w:pPr>
              <w:pStyle w:val="BodyTextIndent"/>
              <w:spacing w:before="120"/>
              <w:ind w:left="0" w:right="26"/>
              <w:jc w:val="both"/>
              <w:rPr>
                <w:bCs/>
                <w:sz w:val="20"/>
                <w:lang w:val="en-US"/>
              </w:rPr>
            </w:pPr>
            <w:r>
              <w:rPr>
                <w:bCs/>
                <w:sz w:val="20"/>
                <w:lang w:val="en-US"/>
              </w:rPr>
              <w:t>72.445.201</w:t>
            </w:r>
          </w:p>
        </w:tc>
        <w:tc>
          <w:tcPr>
            <w:tcW w:w="1320" w:type="dxa"/>
          </w:tcPr>
          <w:p w:rsidR="00822681" w:rsidRDefault="00822681">
            <w:pPr>
              <w:pStyle w:val="BodyTextIndent"/>
              <w:spacing w:before="120"/>
              <w:ind w:left="0" w:right="26"/>
              <w:jc w:val="both"/>
              <w:rPr>
                <w:bCs/>
                <w:sz w:val="20"/>
                <w:lang w:val="en-US"/>
              </w:rPr>
            </w:pPr>
            <w:r>
              <w:rPr>
                <w:bCs/>
                <w:sz w:val="20"/>
                <w:lang w:val="en-US"/>
              </w:rPr>
              <w:t>57.697.336</w:t>
            </w:r>
          </w:p>
        </w:tc>
        <w:tc>
          <w:tcPr>
            <w:tcW w:w="1320" w:type="dxa"/>
          </w:tcPr>
          <w:p w:rsidR="00822681" w:rsidRDefault="00822681">
            <w:pPr>
              <w:pStyle w:val="BodyTextIndent"/>
              <w:spacing w:before="120"/>
              <w:ind w:left="0" w:right="26"/>
              <w:jc w:val="both"/>
              <w:rPr>
                <w:bCs/>
                <w:sz w:val="20"/>
                <w:lang w:val="en-US"/>
              </w:rPr>
            </w:pPr>
            <w:r>
              <w:rPr>
                <w:bCs/>
                <w:sz w:val="20"/>
                <w:lang w:val="en-US"/>
              </w:rPr>
              <w:t>151..942.702</w:t>
            </w:r>
          </w:p>
        </w:tc>
        <w:tc>
          <w:tcPr>
            <w:tcW w:w="1320" w:type="dxa"/>
          </w:tcPr>
          <w:p w:rsidR="00822681" w:rsidRDefault="00822681">
            <w:pPr>
              <w:pStyle w:val="BodyTextIndent"/>
              <w:spacing w:before="120"/>
              <w:ind w:left="0" w:right="26"/>
              <w:jc w:val="both"/>
              <w:rPr>
                <w:bCs/>
                <w:sz w:val="20"/>
                <w:lang w:val="en-US"/>
              </w:rPr>
            </w:pPr>
            <w:r>
              <w:rPr>
                <w:bCs/>
                <w:sz w:val="20"/>
                <w:lang w:val="en-US"/>
              </w:rPr>
              <w:t>183.609.904</w:t>
            </w:r>
          </w:p>
        </w:tc>
        <w:tc>
          <w:tcPr>
            <w:tcW w:w="1320" w:type="dxa"/>
          </w:tcPr>
          <w:p w:rsidR="00822681" w:rsidRDefault="00822681">
            <w:pPr>
              <w:pStyle w:val="BodyTextIndent"/>
              <w:spacing w:before="120"/>
              <w:ind w:left="0" w:right="26"/>
              <w:jc w:val="both"/>
              <w:rPr>
                <w:bCs/>
                <w:sz w:val="20"/>
                <w:lang w:val="en-US"/>
              </w:rPr>
            </w:pPr>
            <w:r>
              <w:rPr>
                <w:bCs/>
                <w:sz w:val="20"/>
                <w:lang w:val="en-US"/>
              </w:rPr>
              <w:t>155.640.154</w:t>
            </w:r>
          </w:p>
        </w:tc>
      </w:tr>
    </w:tbl>
    <w:p w:rsidR="00822681" w:rsidRDefault="00822681">
      <w:pPr>
        <w:pStyle w:val="BodyTextIndent"/>
        <w:ind w:left="142" w:right="26"/>
        <w:jc w:val="both"/>
        <w:rPr>
          <w:bCs/>
          <w:szCs w:val="22"/>
          <w:lang w:val="en-US"/>
        </w:rPr>
      </w:pPr>
    </w:p>
    <w:p w:rsidR="00822681" w:rsidRDefault="00E45D1E">
      <w:pPr>
        <w:ind w:right="26"/>
        <w:jc w:val="both"/>
        <w:rPr>
          <w:szCs w:val="25"/>
          <w:lang w:val="en-US"/>
        </w:rPr>
      </w:pPr>
      <w:r>
        <w:rPr>
          <w:szCs w:val="25"/>
          <w:lang w:val="en-US"/>
        </w:rPr>
        <w:t>171.</w:t>
      </w:r>
      <w:r>
        <w:rPr>
          <w:szCs w:val="25"/>
          <w:lang w:val="en-US"/>
        </w:rPr>
        <w:tab/>
      </w:r>
      <w:r w:rsidR="00D34F81">
        <w:rPr>
          <w:szCs w:val="25"/>
          <w:lang w:val="en-US"/>
        </w:rPr>
        <w:t>T</w:t>
      </w:r>
      <w:r w:rsidR="00822681">
        <w:rPr>
          <w:szCs w:val="25"/>
          <w:lang w:val="en-US"/>
        </w:rPr>
        <w:t>he</w:t>
      </w:r>
      <w:r w:rsidR="00822681">
        <w:rPr>
          <w:b/>
          <w:szCs w:val="25"/>
          <w:lang w:val="en-US"/>
        </w:rPr>
        <w:t xml:space="preserve"> </w:t>
      </w:r>
      <w:r w:rsidR="00822681">
        <w:rPr>
          <w:szCs w:val="25"/>
          <w:lang w:val="en-US"/>
        </w:rPr>
        <w:t>Workers’ Housing Organization</w:t>
      </w:r>
      <w:r w:rsidR="00963194">
        <w:rPr>
          <w:szCs w:val="25"/>
          <w:lang w:val="en-US"/>
        </w:rPr>
        <w:t xml:space="preserve"> </w:t>
      </w:r>
      <w:r w:rsidR="00B768B5">
        <w:rPr>
          <w:szCs w:val="25"/>
          <w:lang w:val="en-US"/>
        </w:rPr>
        <w:t>showed</w:t>
      </w:r>
      <w:r w:rsidR="00822681">
        <w:rPr>
          <w:szCs w:val="25"/>
          <w:lang w:val="en-US"/>
        </w:rPr>
        <w:t xml:space="preserve"> particular sensitivity with regard to beneficiaries’ inability to pay the </w:t>
      </w:r>
      <w:r w:rsidR="00A85F62">
        <w:rPr>
          <w:szCs w:val="25"/>
          <w:lang w:val="en-US"/>
        </w:rPr>
        <w:t>installments</w:t>
      </w:r>
      <w:r w:rsidR="00822681">
        <w:rPr>
          <w:szCs w:val="25"/>
          <w:lang w:val="en-US"/>
        </w:rPr>
        <w:t xml:space="preserve"> and </w:t>
      </w:r>
      <w:r w:rsidR="00B768B5">
        <w:rPr>
          <w:szCs w:val="25"/>
          <w:lang w:val="en-US"/>
        </w:rPr>
        <w:t>did</w:t>
      </w:r>
      <w:r w:rsidR="00822681">
        <w:rPr>
          <w:szCs w:val="25"/>
          <w:lang w:val="en-US"/>
        </w:rPr>
        <w:t xml:space="preserve"> not evict its debtors in any case. In order to support cases where sudden incidents (unemployment, disease, etc.) prevent beneficiaries from effecting regular payments, it implement</w:t>
      </w:r>
      <w:r w:rsidR="00B768B5">
        <w:rPr>
          <w:szCs w:val="25"/>
          <w:lang w:val="en-US"/>
        </w:rPr>
        <w:t>ed</w:t>
      </w:r>
      <w:r w:rsidR="00822681">
        <w:rPr>
          <w:szCs w:val="25"/>
          <w:lang w:val="en-US"/>
        </w:rPr>
        <w:t xml:space="preserve"> the Special Solidarity Fund, a program in the context of which the Workers’ Housing Organization cover</w:t>
      </w:r>
      <w:r w:rsidR="00B768B5">
        <w:rPr>
          <w:szCs w:val="25"/>
          <w:lang w:val="en-US"/>
        </w:rPr>
        <w:t>ed</w:t>
      </w:r>
      <w:r w:rsidR="00822681">
        <w:rPr>
          <w:szCs w:val="25"/>
          <w:lang w:val="en-US"/>
        </w:rPr>
        <w:t xml:space="preserve"> the </w:t>
      </w:r>
      <w:r w:rsidR="00A85F62">
        <w:rPr>
          <w:szCs w:val="25"/>
          <w:lang w:val="en-US"/>
        </w:rPr>
        <w:t>installments</w:t>
      </w:r>
      <w:r w:rsidR="00822681">
        <w:rPr>
          <w:szCs w:val="25"/>
          <w:lang w:val="en-US"/>
        </w:rPr>
        <w:t xml:space="preserve"> of the said beneficiaries to the Organization for one year.</w:t>
      </w:r>
    </w:p>
    <w:p w:rsidR="00512B5D" w:rsidRDefault="00512B5D">
      <w:pPr>
        <w:ind w:right="26"/>
        <w:jc w:val="both"/>
        <w:rPr>
          <w:szCs w:val="25"/>
          <w:lang w:val="en-US"/>
        </w:rPr>
      </w:pPr>
    </w:p>
    <w:p w:rsidR="00822681" w:rsidRPr="001E3940" w:rsidRDefault="00E45D1E">
      <w:pPr>
        <w:ind w:right="26"/>
        <w:jc w:val="both"/>
        <w:rPr>
          <w:szCs w:val="25"/>
          <w:lang w:val="en-US"/>
        </w:rPr>
      </w:pPr>
      <w:r>
        <w:rPr>
          <w:szCs w:val="25"/>
          <w:lang w:val="en-US"/>
        </w:rPr>
        <w:t>172.</w:t>
      </w:r>
      <w:r>
        <w:rPr>
          <w:szCs w:val="25"/>
          <w:lang w:val="en-US"/>
        </w:rPr>
        <w:tab/>
      </w:r>
      <w:r w:rsidR="00B768B5" w:rsidRPr="001E3940">
        <w:rPr>
          <w:szCs w:val="25"/>
          <w:lang w:val="en-US"/>
        </w:rPr>
        <w:t>It must be noted that, within the framework of the 2</w:t>
      </w:r>
      <w:r w:rsidR="00B768B5" w:rsidRPr="001E3940">
        <w:rPr>
          <w:szCs w:val="25"/>
          <w:vertAlign w:val="superscript"/>
          <w:lang w:val="en-US"/>
        </w:rPr>
        <w:t>nd</w:t>
      </w:r>
      <w:r w:rsidR="00B768B5" w:rsidRPr="001E3940">
        <w:rPr>
          <w:szCs w:val="25"/>
          <w:lang w:val="en-US"/>
        </w:rPr>
        <w:t xml:space="preserve"> Memorandum</w:t>
      </w:r>
      <w:r w:rsidR="00512B5D">
        <w:rPr>
          <w:szCs w:val="25"/>
          <w:lang w:val="en-US"/>
        </w:rPr>
        <w:t xml:space="preserve"> of </w:t>
      </w:r>
      <w:r w:rsidR="00C40962">
        <w:rPr>
          <w:szCs w:val="25"/>
          <w:lang w:val="en-US"/>
        </w:rPr>
        <w:t xml:space="preserve">Understanding on </w:t>
      </w:r>
      <w:r w:rsidR="00512B5D">
        <w:rPr>
          <w:szCs w:val="25"/>
          <w:lang w:val="en-US"/>
        </w:rPr>
        <w:t>Specific Economic Policy Conditionality</w:t>
      </w:r>
      <w:r w:rsidR="00B768B5" w:rsidRPr="001E3940">
        <w:rPr>
          <w:szCs w:val="25"/>
          <w:lang w:val="en-US"/>
        </w:rPr>
        <w:t xml:space="preserve">, the Workers’ Housing Organization as well as </w:t>
      </w:r>
      <w:r w:rsidR="00A01444" w:rsidRPr="001E3940">
        <w:rPr>
          <w:szCs w:val="25"/>
          <w:lang w:val="en-US"/>
        </w:rPr>
        <w:t xml:space="preserve">the Workers’ Institute (OEE) have been </w:t>
      </w:r>
      <w:r w:rsidR="004A351B" w:rsidRPr="001E3940">
        <w:rPr>
          <w:szCs w:val="25"/>
          <w:lang w:val="en-US"/>
        </w:rPr>
        <w:t>abolished</w:t>
      </w:r>
      <w:r w:rsidR="00A85F62" w:rsidRPr="001E3940">
        <w:rPr>
          <w:szCs w:val="25"/>
          <w:lang w:val="en-US"/>
        </w:rPr>
        <w:t xml:space="preserve">. Cabinet Decree No7/28-2-2012 </w:t>
      </w:r>
      <w:r w:rsidR="00DA282B" w:rsidRPr="001E3940">
        <w:rPr>
          <w:szCs w:val="25"/>
          <w:lang w:val="en-US"/>
        </w:rPr>
        <w:t>implement</w:t>
      </w:r>
      <w:r w:rsidR="00044C70" w:rsidRPr="001E3940">
        <w:rPr>
          <w:szCs w:val="25"/>
          <w:lang w:val="en-US"/>
        </w:rPr>
        <w:t>ing</w:t>
      </w:r>
      <w:r w:rsidR="00DA282B" w:rsidRPr="001E3940">
        <w:rPr>
          <w:szCs w:val="25"/>
          <w:lang w:val="en-US"/>
        </w:rPr>
        <w:t xml:space="preserve"> </w:t>
      </w:r>
      <w:r w:rsidR="00A85F62" w:rsidRPr="001E3940">
        <w:rPr>
          <w:szCs w:val="25"/>
          <w:lang w:val="en-US"/>
        </w:rPr>
        <w:t>article</w:t>
      </w:r>
      <w:r w:rsidR="00C40962">
        <w:rPr>
          <w:szCs w:val="25"/>
          <w:lang w:val="en-US"/>
        </w:rPr>
        <w:t xml:space="preserve"> </w:t>
      </w:r>
      <w:r w:rsidR="00A85F62" w:rsidRPr="001E3940">
        <w:rPr>
          <w:szCs w:val="25"/>
          <w:lang w:val="en-US"/>
        </w:rPr>
        <w:t>1</w:t>
      </w:r>
      <w:r w:rsidR="00C40962">
        <w:rPr>
          <w:szCs w:val="25"/>
          <w:lang w:val="en-US"/>
        </w:rPr>
        <w:t xml:space="preserve"> (6)</w:t>
      </w:r>
      <w:r w:rsidR="00A85F62" w:rsidRPr="001E3940">
        <w:rPr>
          <w:szCs w:val="25"/>
          <w:lang w:val="en-US"/>
        </w:rPr>
        <w:t xml:space="preserve"> of Law</w:t>
      </w:r>
      <w:r w:rsidR="00C40962">
        <w:rPr>
          <w:szCs w:val="25"/>
          <w:lang w:val="en-US"/>
        </w:rPr>
        <w:t xml:space="preserve"> </w:t>
      </w:r>
      <w:r w:rsidR="00A85F62" w:rsidRPr="001E3940">
        <w:rPr>
          <w:szCs w:val="25"/>
          <w:lang w:val="en-US"/>
        </w:rPr>
        <w:t>4046/2012</w:t>
      </w:r>
      <w:r w:rsidR="00B768B5" w:rsidRPr="001E3940">
        <w:rPr>
          <w:szCs w:val="25"/>
          <w:lang w:val="en-US"/>
        </w:rPr>
        <w:t xml:space="preserve"> </w:t>
      </w:r>
      <w:r w:rsidR="00DA282B" w:rsidRPr="001E3940">
        <w:rPr>
          <w:szCs w:val="25"/>
          <w:lang w:val="en-US"/>
        </w:rPr>
        <w:t xml:space="preserve">stipulates that all competencies of the </w:t>
      </w:r>
      <w:r w:rsidR="00DA2F56" w:rsidRPr="001E3940">
        <w:rPr>
          <w:szCs w:val="25"/>
          <w:lang w:val="en-US"/>
        </w:rPr>
        <w:t>abolished o</w:t>
      </w:r>
      <w:r w:rsidR="00DA282B" w:rsidRPr="001E3940">
        <w:rPr>
          <w:szCs w:val="25"/>
          <w:lang w:val="en-US"/>
        </w:rPr>
        <w:t>rganizations are transferred to and exercised by the OAED.</w:t>
      </w:r>
    </w:p>
    <w:p w:rsidR="00DA282B" w:rsidRDefault="00DA282B">
      <w:pPr>
        <w:ind w:right="26"/>
        <w:jc w:val="both"/>
        <w:rPr>
          <w:szCs w:val="25"/>
          <w:lang w:val="en-US"/>
        </w:rPr>
      </w:pPr>
    </w:p>
    <w:p w:rsidR="00822681" w:rsidRDefault="00822681">
      <w:pPr>
        <w:pStyle w:val="BodyText"/>
        <w:ind w:right="26"/>
        <w:jc w:val="both"/>
        <w:rPr>
          <w:rFonts w:ascii="Times New Roman" w:hAnsi="Times New Roman"/>
          <w:b/>
          <w:bCs/>
          <w:u w:val="single"/>
          <w:lang w:val="en-US"/>
        </w:rPr>
      </w:pPr>
      <w:r>
        <w:rPr>
          <w:rFonts w:ascii="Times New Roman" w:hAnsi="Times New Roman"/>
          <w:b/>
          <w:bCs/>
          <w:u w:val="single"/>
          <w:lang w:val="en-US"/>
        </w:rPr>
        <w:t>The fight against homelessness (see paras</w:t>
      </w:r>
      <w:r w:rsidR="008B167E">
        <w:rPr>
          <w:rFonts w:ascii="Times New Roman" w:hAnsi="Times New Roman"/>
          <w:b/>
          <w:bCs/>
          <w:u w:val="single"/>
          <w:lang w:val="en-US"/>
        </w:rPr>
        <w:t xml:space="preserve">. </w:t>
      </w:r>
      <w:r>
        <w:rPr>
          <w:rFonts w:ascii="Times New Roman" w:hAnsi="Times New Roman"/>
          <w:b/>
          <w:bCs/>
          <w:u w:val="single"/>
          <w:lang w:val="en-US"/>
        </w:rPr>
        <w:t>23, 45 of the Committee’s Concluding Observations)</w:t>
      </w:r>
    </w:p>
    <w:p w:rsidR="00822681" w:rsidRDefault="00E45D1E">
      <w:pPr>
        <w:pStyle w:val="BodyText"/>
        <w:ind w:right="26"/>
        <w:jc w:val="both"/>
        <w:rPr>
          <w:rFonts w:ascii="Times New Roman" w:hAnsi="Times New Roman"/>
          <w:lang w:val="en-US"/>
        </w:rPr>
      </w:pPr>
      <w:r>
        <w:rPr>
          <w:rFonts w:ascii="Times New Roman" w:hAnsi="Times New Roman"/>
          <w:lang w:val="en-US"/>
        </w:rPr>
        <w:t>173.</w:t>
      </w:r>
      <w:r>
        <w:rPr>
          <w:rFonts w:ascii="Times New Roman" w:hAnsi="Times New Roman"/>
          <w:lang w:val="en-US"/>
        </w:rPr>
        <w:tab/>
      </w:r>
      <w:r w:rsidR="00822681">
        <w:rPr>
          <w:rFonts w:ascii="Times New Roman" w:hAnsi="Times New Roman"/>
          <w:lang w:val="en-US"/>
        </w:rPr>
        <w:t xml:space="preserve">Since the profile of homelessness is changing constantly and all studies or efforts to measure homeless persons by various agencies differ from each other, in order to achieve a more systematic and valid data collection by an official agency with a view </w:t>
      </w:r>
      <w:r w:rsidR="00C40962">
        <w:rPr>
          <w:rFonts w:ascii="Times New Roman" w:hAnsi="Times New Roman"/>
          <w:lang w:val="en-US"/>
        </w:rPr>
        <w:t>to</w:t>
      </w:r>
      <w:r w:rsidR="00822681">
        <w:rPr>
          <w:rFonts w:ascii="Times New Roman" w:hAnsi="Times New Roman"/>
          <w:lang w:val="en-US"/>
        </w:rPr>
        <w:t xml:space="preserve"> developing proper planning and programming for the implementation of homeless support and care programmes, the National Social Solidarity Centre (EKKA) has been entrusted with </w:t>
      </w:r>
      <w:r w:rsidR="00822681">
        <w:rPr>
          <w:rFonts w:ascii="Times New Roman" w:hAnsi="Times New Roman"/>
          <w:u w:val="single"/>
          <w:lang w:val="en-US"/>
        </w:rPr>
        <w:t>country-wide data collection</w:t>
      </w:r>
      <w:r w:rsidR="00336C20">
        <w:rPr>
          <w:rFonts w:ascii="Times New Roman" w:hAnsi="Times New Roman"/>
          <w:u w:val="single"/>
          <w:lang w:val="en-US"/>
        </w:rPr>
        <w:t xml:space="preserve"> for the year 2009</w:t>
      </w:r>
      <w:r w:rsidR="00822681">
        <w:rPr>
          <w:rFonts w:ascii="Times New Roman" w:hAnsi="Times New Roman"/>
          <w:lang w:val="en-US"/>
        </w:rPr>
        <w:t>, in association with the competent local authorities and other stakeholders (municipalities, church, NGOs etc.) on the basis of the relevant European methodologies..</w:t>
      </w:r>
    </w:p>
    <w:p w:rsidR="00822681" w:rsidRDefault="00E45D1E">
      <w:pPr>
        <w:pStyle w:val="BodyText"/>
        <w:ind w:right="26"/>
        <w:jc w:val="both"/>
        <w:rPr>
          <w:rFonts w:ascii="Times New Roman" w:hAnsi="Times New Roman"/>
          <w:lang w:val="en-GB"/>
        </w:rPr>
      </w:pPr>
      <w:r>
        <w:rPr>
          <w:rFonts w:ascii="Times New Roman" w:hAnsi="Times New Roman"/>
          <w:lang w:val="en-US"/>
        </w:rPr>
        <w:t>174.</w:t>
      </w:r>
      <w:r>
        <w:rPr>
          <w:rFonts w:ascii="Times New Roman" w:hAnsi="Times New Roman"/>
          <w:lang w:val="en-US"/>
        </w:rPr>
        <w:tab/>
      </w:r>
      <w:r w:rsidR="00822681">
        <w:rPr>
          <w:rFonts w:ascii="Times New Roman" w:hAnsi="Times New Roman"/>
          <w:lang w:val="en-US"/>
        </w:rPr>
        <w:t xml:space="preserve">Thus, in the context of this procedure, the data forwarded to date show </w:t>
      </w:r>
      <w:r w:rsidR="00822681">
        <w:rPr>
          <w:rFonts w:ascii="Times New Roman" w:hAnsi="Times New Roman"/>
          <w:b/>
          <w:lang w:val="en-US"/>
        </w:rPr>
        <w:t>21,216</w:t>
      </w:r>
      <w:r w:rsidR="00822681">
        <w:rPr>
          <w:rFonts w:ascii="Times New Roman" w:hAnsi="Times New Roman"/>
          <w:lang w:val="en-US"/>
        </w:rPr>
        <w:t xml:space="preserve"> cases of people who live outside home in various forms (living on the street, in non-safe accommodation, in shelters or guesthouses etc.), as detailed in the table contained in Annex </w:t>
      </w:r>
      <w:r w:rsidR="00822681">
        <w:rPr>
          <w:rFonts w:ascii="Times New Roman" w:hAnsi="Times New Roman"/>
          <w:lang w:val="en-GB"/>
        </w:rPr>
        <w:t>3.</w:t>
      </w:r>
    </w:p>
    <w:p w:rsidR="007B21C3" w:rsidRDefault="00E45D1E">
      <w:pPr>
        <w:pStyle w:val="BodyText"/>
        <w:ind w:right="26"/>
        <w:jc w:val="both"/>
        <w:rPr>
          <w:rFonts w:ascii="Times New Roman" w:hAnsi="Times New Roman"/>
          <w:b/>
          <w:bCs/>
          <w:lang w:val="en-US"/>
        </w:rPr>
      </w:pPr>
      <w:r>
        <w:rPr>
          <w:rFonts w:ascii="Times New Roman" w:hAnsi="Times New Roman"/>
          <w:lang w:val="en-US"/>
        </w:rPr>
        <w:lastRenderedPageBreak/>
        <w:t>175.</w:t>
      </w:r>
      <w:r>
        <w:rPr>
          <w:rFonts w:ascii="Times New Roman" w:hAnsi="Times New Roman"/>
          <w:lang w:val="en-US"/>
        </w:rPr>
        <w:tab/>
      </w:r>
      <w:r w:rsidR="00822681">
        <w:rPr>
          <w:rFonts w:ascii="Times New Roman" w:hAnsi="Times New Roman"/>
          <w:lang w:val="en-US"/>
        </w:rPr>
        <w:t>To combat the lack of accommodation as an issue of social exclusion, the Ministry of Health and Social Solidarity implements a wide range of measures and actions</w:t>
      </w:r>
      <w:r w:rsidR="007B21C3">
        <w:rPr>
          <w:rFonts w:ascii="Times New Roman" w:hAnsi="Times New Roman"/>
          <w:lang w:val="en-US"/>
        </w:rPr>
        <w:t>.</w:t>
      </w:r>
      <w:r w:rsidR="007B21C3" w:rsidRPr="007B21C3">
        <w:rPr>
          <w:rFonts w:ascii="Times New Roman" w:hAnsi="Times New Roman"/>
          <w:lang w:val="en-US"/>
        </w:rPr>
        <w:t xml:space="preserve"> </w:t>
      </w:r>
      <w:r w:rsidR="007B21C3">
        <w:rPr>
          <w:rFonts w:ascii="Times New Roman" w:hAnsi="Times New Roman"/>
          <w:lang w:val="en-US"/>
        </w:rPr>
        <w:t>A</w:t>
      </w:r>
      <w:r w:rsidR="007B21C3" w:rsidRPr="007B21C3">
        <w:rPr>
          <w:rFonts w:ascii="Times New Roman" w:hAnsi="Times New Roman"/>
          <w:lang w:val="en-US"/>
        </w:rPr>
        <w:t xml:space="preserve"> committee has </w:t>
      </w:r>
      <w:r w:rsidR="007B21C3">
        <w:rPr>
          <w:rFonts w:ascii="Times New Roman" w:hAnsi="Times New Roman"/>
          <w:lang w:val="en-US"/>
        </w:rPr>
        <w:t xml:space="preserve">been </w:t>
      </w:r>
      <w:r w:rsidR="007B21C3" w:rsidRPr="007B21C3">
        <w:rPr>
          <w:rFonts w:ascii="Times New Roman" w:hAnsi="Times New Roman"/>
          <w:lang w:val="en-US"/>
        </w:rPr>
        <w:t>formed</w:t>
      </w:r>
      <w:r w:rsidR="007B21C3">
        <w:rPr>
          <w:rFonts w:ascii="Times New Roman" w:hAnsi="Times New Roman"/>
          <w:lang w:val="en-US"/>
        </w:rPr>
        <w:t>,</w:t>
      </w:r>
      <w:r w:rsidR="007B21C3" w:rsidRPr="007B21C3">
        <w:rPr>
          <w:rFonts w:ascii="Times New Roman" w:hAnsi="Times New Roman"/>
          <w:lang w:val="en-US"/>
        </w:rPr>
        <w:t xml:space="preserve"> composed by the National Social Solidarity Centre (EKKA) and other competent local authorities and stakeholders (mun</w:t>
      </w:r>
      <w:r w:rsidR="007B21C3">
        <w:rPr>
          <w:rFonts w:ascii="Times New Roman" w:hAnsi="Times New Roman"/>
          <w:lang w:val="en-US"/>
        </w:rPr>
        <w:t xml:space="preserve">icipalities, church, NGOs etc.), </w:t>
      </w:r>
      <w:r w:rsidR="007B21C3" w:rsidRPr="007B21C3">
        <w:rPr>
          <w:rFonts w:ascii="Times New Roman" w:hAnsi="Times New Roman"/>
          <w:lang w:val="en-US"/>
        </w:rPr>
        <w:t>which has been entrusted with the planning and implementation of a country-wide data colle</w:t>
      </w:r>
      <w:r w:rsidR="007B21C3">
        <w:rPr>
          <w:rFonts w:ascii="Times New Roman" w:hAnsi="Times New Roman"/>
          <w:lang w:val="en-US"/>
        </w:rPr>
        <w:t>ction on the h</w:t>
      </w:r>
      <w:r w:rsidR="007B21C3" w:rsidRPr="007B21C3">
        <w:rPr>
          <w:rFonts w:ascii="Times New Roman" w:hAnsi="Times New Roman"/>
          <w:lang w:val="en-US"/>
        </w:rPr>
        <w:t>omeless, on the basis of the relevant European methodologies. It has also been given the task to elaborate a package of m</w:t>
      </w:r>
      <w:r w:rsidR="007B21C3">
        <w:rPr>
          <w:rFonts w:ascii="Times New Roman" w:hAnsi="Times New Roman"/>
          <w:lang w:val="en-US"/>
        </w:rPr>
        <w:t>easures for the support of the h</w:t>
      </w:r>
      <w:r w:rsidR="007B21C3" w:rsidRPr="007B21C3">
        <w:rPr>
          <w:rFonts w:ascii="Times New Roman" w:hAnsi="Times New Roman"/>
          <w:lang w:val="en-US"/>
        </w:rPr>
        <w:t>omeless.</w:t>
      </w:r>
      <w:r w:rsidR="00822681">
        <w:rPr>
          <w:rFonts w:ascii="Times New Roman" w:hAnsi="Times New Roman"/>
          <w:b/>
          <w:bCs/>
          <w:lang w:val="en-US"/>
        </w:rPr>
        <w:t xml:space="preserve"> </w:t>
      </w:r>
    </w:p>
    <w:p w:rsidR="00822681" w:rsidRPr="00336C20" w:rsidRDefault="00E45D1E">
      <w:pPr>
        <w:pStyle w:val="BodyText"/>
        <w:ind w:right="26"/>
        <w:jc w:val="both"/>
        <w:rPr>
          <w:rFonts w:ascii="Times New Roman" w:hAnsi="Times New Roman"/>
          <w:b/>
          <w:bCs/>
          <w:lang w:val="en-US"/>
        </w:rPr>
      </w:pPr>
      <w:r>
        <w:rPr>
          <w:rFonts w:ascii="Times New Roman" w:hAnsi="Times New Roman"/>
          <w:bCs/>
          <w:lang w:val="en-US"/>
        </w:rPr>
        <w:t>176.</w:t>
      </w:r>
      <w:r>
        <w:rPr>
          <w:rFonts w:ascii="Times New Roman" w:hAnsi="Times New Roman"/>
          <w:bCs/>
          <w:lang w:val="en-US"/>
        </w:rPr>
        <w:tab/>
      </w:r>
      <w:r w:rsidR="00336C20" w:rsidRPr="00336C20">
        <w:rPr>
          <w:rFonts w:ascii="Times New Roman" w:hAnsi="Times New Roman"/>
          <w:bCs/>
          <w:lang w:val="en-US"/>
        </w:rPr>
        <w:t>Within this context, most recently, the Greek Government recognized by law 4052/2012 the homeless as a special vulnerable group granted social protection.</w:t>
      </w:r>
    </w:p>
    <w:p w:rsidR="00822681" w:rsidRDefault="00822681">
      <w:pPr>
        <w:pStyle w:val="BodyText"/>
        <w:ind w:right="26"/>
        <w:jc w:val="both"/>
        <w:rPr>
          <w:rFonts w:ascii="Times New Roman" w:hAnsi="Times New Roman"/>
          <w:bCs/>
          <w:u w:val="single"/>
          <w:lang w:val="en-US"/>
        </w:rPr>
      </w:pPr>
      <w:r>
        <w:rPr>
          <w:rFonts w:ascii="Times New Roman" w:hAnsi="Times New Roman"/>
          <w:bCs/>
          <w:u w:val="single"/>
          <w:lang w:val="en-US"/>
        </w:rPr>
        <w:t>Vulnerable and disadvantaged groups in relation to housing</w:t>
      </w:r>
    </w:p>
    <w:p w:rsidR="00822681" w:rsidRDefault="00E45D1E">
      <w:pPr>
        <w:pStyle w:val="BodyText"/>
        <w:ind w:right="26"/>
        <w:jc w:val="both"/>
        <w:rPr>
          <w:rFonts w:ascii="Times New Roman" w:hAnsi="Times New Roman"/>
          <w:lang w:val="en-US"/>
        </w:rPr>
      </w:pPr>
      <w:r>
        <w:rPr>
          <w:rFonts w:ascii="Times New Roman" w:hAnsi="Times New Roman"/>
          <w:lang w:val="en-US"/>
        </w:rPr>
        <w:t>177.</w:t>
      </w:r>
      <w:r>
        <w:rPr>
          <w:rFonts w:ascii="Times New Roman" w:hAnsi="Times New Roman"/>
          <w:lang w:val="en-US"/>
        </w:rPr>
        <w:tab/>
      </w:r>
      <w:r w:rsidR="00822681">
        <w:rPr>
          <w:rFonts w:ascii="Times New Roman" w:hAnsi="Times New Roman"/>
          <w:lang w:val="en-US"/>
        </w:rPr>
        <w:t xml:space="preserve">Social Protection Programmes are implemented through the Local Government to combat poverty and to support households severely affected from unforeseen events (such as disasters etc.), so as for them to recover immediately and avoid homelessness. The level of one-off financial support </w:t>
      </w:r>
      <w:r w:rsidR="00336C20">
        <w:rPr>
          <w:rFonts w:ascii="Times New Roman" w:hAnsi="Times New Roman"/>
          <w:lang w:val="en-US"/>
        </w:rPr>
        <w:t xml:space="preserve">to combat poverty </w:t>
      </w:r>
      <w:r w:rsidR="00822681">
        <w:rPr>
          <w:rFonts w:ascii="Times New Roman" w:hAnsi="Times New Roman"/>
          <w:lang w:val="en-US"/>
        </w:rPr>
        <w:t>increased in 2009 from 234.78 € to a maximum of 600 €.</w:t>
      </w:r>
      <w:r w:rsidR="00336C20">
        <w:rPr>
          <w:rFonts w:ascii="Times New Roman" w:hAnsi="Times New Roman"/>
          <w:lang w:val="en-US"/>
        </w:rPr>
        <w:t xml:space="preserve"> </w:t>
      </w:r>
      <w:r w:rsidR="00336C20" w:rsidRPr="00336C20">
        <w:rPr>
          <w:rFonts w:ascii="Times New Roman" w:hAnsi="Times New Roman"/>
          <w:lang w:val="en-US"/>
        </w:rPr>
        <w:t>The level of the one-off financial support for households affected by disasters is 586,94€, doubled in case of large families and families with disabled persons. Another 4.402€ is provided for persons disabled due to the disaster occurred.</w:t>
      </w:r>
    </w:p>
    <w:p w:rsidR="00822681" w:rsidRDefault="00E45D1E" w:rsidP="00E45D1E">
      <w:pPr>
        <w:pStyle w:val="BodyText"/>
        <w:spacing w:after="0"/>
        <w:ind w:right="26"/>
        <w:jc w:val="both"/>
        <w:rPr>
          <w:rFonts w:ascii="Times New Roman" w:hAnsi="Times New Roman"/>
          <w:lang w:val="en-US"/>
        </w:rPr>
      </w:pPr>
      <w:r>
        <w:rPr>
          <w:rFonts w:ascii="Times New Roman" w:hAnsi="Times New Roman"/>
          <w:lang w:val="en-US"/>
        </w:rPr>
        <w:t>178.</w:t>
      </w:r>
      <w:r>
        <w:rPr>
          <w:rFonts w:ascii="Times New Roman" w:hAnsi="Times New Roman"/>
          <w:lang w:val="en-US"/>
        </w:rPr>
        <w:tab/>
      </w:r>
      <w:r w:rsidR="00822681">
        <w:rPr>
          <w:rFonts w:ascii="Times New Roman" w:hAnsi="Times New Roman"/>
          <w:lang w:val="en-US"/>
        </w:rPr>
        <w:t xml:space="preserve">The </w:t>
      </w:r>
      <w:r w:rsidR="00822681">
        <w:rPr>
          <w:rFonts w:ascii="Times New Roman" w:hAnsi="Times New Roman"/>
          <w:b/>
          <w:bCs/>
          <w:lang w:val="en-US"/>
        </w:rPr>
        <w:t xml:space="preserve">uninsured and the financially disadvantaged citizens </w:t>
      </w:r>
      <w:r w:rsidR="00822681">
        <w:rPr>
          <w:rFonts w:ascii="Times New Roman" w:hAnsi="Times New Roman"/>
          <w:lang w:val="en-US"/>
        </w:rPr>
        <w:t>are issued by the Local Governments a Sickness Insurance Carnet and Social Protection Certificates for hospital treatment and medical care.</w:t>
      </w:r>
      <w:r w:rsidR="00336C20">
        <w:rPr>
          <w:rFonts w:ascii="Times New Roman" w:hAnsi="Times New Roman"/>
          <w:lang w:val="en-US"/>
        </w:rPr>
        <w:t xml:space="preserve"> </w:t>
      </w:r>
      <w:r w:rsidR="00336C20" w:rsidRPr="00336C20">
        <w:rPr>
          <w:rFonts w:ascii="Times New Roman" w:hAnsi="Times New Roman"/>
          <w:lang w:val="en-US"/>
        </w:rPr>
        <w:t>In 2010</w:t>
      </w:r>
      <w:r w:rsidR="00336C20">
        <w:rPr>
          <w:rFonts w:ascii="Times New Roman" w:hAnsi="Times New Roman"/>
          <w:lang w:val="en-US"/>
        </w:rPr>
        <w:t>,</w:t>
      </w:r>
      <w:r w:rsidR="00336C20" w:rsidRPr="00336C20">
        <w:rPr>
          <w:rFonts w:ascii="Times New Roman" w:hAnsi="Times New Roman"/>
          <w:lang w:val="en-US"/>
        </w:rPr>
        <w:t xml:space="preserve"> 95.647 persons were served. More specifically, 27.434 new Sickness Insurance Carnets were issued, 64.811 carnets were validated and 3.402 Social Protection Certificates were issued</w:t>
      </w:r>
      <w:r w:rsidR="00822681">
        <w:rPr>
          <w:rFonts w:ascii="Times New Roman" w:hAnsi="Times New Roman"/>
          <w:lang w:val="en-US"/>
        </w:rPr>
        <w:t>.</w:t>
      </w:r>
    </w:p>
    <w:p w:rsidR="00822681" w:rsidRDefault="00822681">
      <w:pPr>
        <w:ind w:right="26"/>
        <w:jc w:val="both"/>
        <w:rPr>
          <w:lang w:val="en-US"/>
        </w:rPr>
      </w:pPr>
    </w:p>
    <w:p w:rsidR="00822681" w:rsidRDefault="00E45D1E" w:rsidP="00E45D1E">
      <w:pPr>
        <w:pStyle w:val="BodyText"/>
        <w:spacing w:after="0"/>
        <w:ind w:right="26"/>
        <w:jc w:val="both"/>
        <w:rPr>
          <w:rFonts w:ascii="Times New Roman" w:hAnsi="Times New Roman"/>
          <w:lang w:val="en-US"/>
        </w:rPr>
      </w:pPr>
      <w:r>
        <w:rPr>
          <w:rFonts w:ascii="Times New Roman" w:hAnsi="Times New Roman"/>
          <w:lang w:val="en-US"/>
        </w:rPr>
        <w:t>179.</w:t>
      </w:r>
      <w:r>
        <w:rPr>
          <w:rFonts w:ascii="Times New Roman" w:hAnsi="Times New Roman"/>
          <w:lang w:val="en-US"/>
        </w:rPr>
        <w:tab/>
      </w:r>
      <w:r w:rsidR="00822681">
        <w:rPr>
          <w:rFonts w:ascii="Times New Roman" w:hAnsi="Times New Roman"/>
          <w:lang w:val="en-US"/>
        </w:rPr>
        <w:t xml:space="preserve">A </w:t>
      </w:r>
      <w:r w:rsidR="00822681">
        <w:rPr>
          <w:rFonts w:ascii="Times New Roman" w:hAnsi="Times New Roman"/>
          <w:b/>
          <w:bCs/>
          <w:lang w:val="en-US"/>
        </w:rPr>
        <w:t xml:space="preserve">housing aid benefit </w:t>
      </w:r>
      <w:r w:rsidR="00822681">
        <w:rPr>
          <w:rFonts w:ascii="Times New Roman" w:hAnsi="Times New Roman"/>
          <w:bCs/>
          <w:lang w:val="en-US"/>
        </w:rPr>
        <w:t xml:space="preserve">is granted </w:t>
      </w:r>
      <w:r w:rsidR="00822681">
        <w:rPr>
          <w:rFonts w:ascii="Times New Roman" w:hAnsi="Times New Roman"/>
          <w:lang w:val="en-US"/>
        </w:rPr>
        <w:t>to the uninsured and financially disadvantaged senior citizens over 65 years and to the uninsured couples and financially disadvantaged senior citizens who prove to be deprived of accommodation and reside in a leased home.  It is a housing benefit in the form of rent granted to the owner of the property.  The monthly benefit amounts for uninsured single persons aged over 65 years and uninsured couples to 310 € in 2009, 335 € in 2010 and 362 € in 2011 .</w:t>
      </w:r>
    </w:p>
    <w:p w:rsidR="00822681" w:rsidRDefault="00822681">
      <w:pPr>
        <w:pStyle w:val="BodyText"/>
        <w:spacing w:after="0"/>
        <w:ind w:right="26"/>
        <w:jc w:val="both"/>
        <w:rPr>
          <w:rFonts w:ascii="Times New Roman" w:hAnsi="Times New Roman"/>
          <w:lang w:val="en-US"/>
        </w:rPr>
      </w:pPr>
    </w:p>
    <w:p w:rsidR="00822681" w:rsidRDefault="00E45D1E" w:rsidP="00E45D1E">
      <w:pPr>
        <w:pStyle w:val="BodyText"/>
        <w:spacing w:after="0"/>
        <w:ind w:right="26"/>
        <w:jc w:val="both"/>
        <w:rPr>
          <w:rFonts w:ascii="Times New Roman" w:hAnsi="Times New Roman"/>
          <w:lang w:val="en-US"/>
        </w:rPr>
      </w:pPr>
      <w:r>
        <w:rPr>
          <w:rFonts w:ascii="Times New Roman" w:hAnsi="Times New Roman"/>
          <w:lang w:val="en-US"/>
        </w:rPr>
        <w:t>180.</w:t>
      </w:r>
      <w:r>
        <w:rPr>
          <w:rFonts w:ascii="Times New Roman" w:hAnsi="Times New Roman"/>
          <w:lang w:val="en-US"/>
        </w:rPr>
        <w:tab/>
      </w:r>
      <w:r w:rsidR="00822681">
        <w:rPr>
          <w:rFonts w:ascii="Times New Roman" w:hAnsi="Times New Roman"/>
          <w:lang w:val="en-US"/>
        </w:rPr>
        <w:t>In order to effectively tackle the problems caused to persons</w:t>
      </w:r>
      <w:r w:rsidR="00822681">
        <w:rPr>
          <w:rFonts w:ascii="Times New Roman" w:hAnsi="Times New Roman"/>
          <w:b/>
          <w:bCs/>
          <w:lang w:val="en-US"/>
        </w:rPr>
        <w:t xml:space="preserve"> hit by a calamity</w:t>
      </w:r>
      <w:r w:rsidR="00822681">
        <w:rPr>
          <w:rFonts w:ascii="Times New Roman" w:hAnsi="Times New Roman"/>
          <w:lang w:val="en-US"/>
        </w:rPr>
        <w:t>, the competent authority grants without delay tents and blankets for temporary accommodation as well as financial aid.</w:t>
      </w:r>
    </w:p>
    <w:p w:rsidR="007B21C3" w:rsidRDefault="007B21C3" w:rsidP="007B21C3">
      <w:pPr>
        <w:pStyle w:val="BodyText"/>
        <w:spacing w:after="0"/>
        <w:ind w:right="26"/>
        <w:jc w:val="both"/>
        <w:rPr>
          <w:rFonts w:ascii="Times New Roman" w:hAnsi="Times New Roman"/>
          <w:lang w:val="en-US"/>
        </w:rPr>
      </w:pPr>
    </w:p>
    <w:p w:rsidR="00822681" w:rsidRDefault="00E45D1E">
      <w:pPr>
        <w:pStyle w:val="BodyText"/>
        <w:ind w:right="26"/>
        <w:jc w:val="both"/>
        <w:rPr>
          <w:rFonts w:ascii="Times New Roman" w:hAnsi="Times New Roman"/>
          <w:b/>
          <w:bCs/>
          <w:lang w:val="en-US"/>
        </w:rPr>
      </w:pPr>
      <w:r>
        <w:rPr>
          <w:rFonts w:ascii="Times New Roman" w:hAnsi="Times New Roman"/>
          <w:lang w:val="en-US"/>
        </w:rPr>
        <w:t>181.</w:t>
      </w:r>
      <w:r>
        <w:rPr>
          <w:rFonts w:ascii="Times New Roman" w:hAnsi="Times New Roman"/>
          <w:lang w:val="en-US"/>
        </w:rPr>
        <w:tab/>
      </w:r>
      <w:r w:rsidR="00822681">
        <w:rPr>
          <w:rFonts w:ascii="Times New Roman" w:hAnsi="Times New Roman"/>
          <w:lang w:val="en-US"/>
        </w:rPr>
        <w:t>Offices of Social Supporting Services function in about 150 Municipalities throughout the country where supporting services are provided</w:t>
      </w:r>
      <w:r w:rsidR="007B21C3">
        <w:rPr>
          <w:rFonts w:ascii="Times New Roman" w:hAnsi="Times New Roman"/>
          <w:lang w:val="en-US"/>
        </w:rPr>
        <w:t>,</w:t>
      </w:r>
      <w:r w:rsidR="00822681">
        <w:rPr>
          <w:rFonts w:ascii="Times New Roman" w:hAnsi="Times New Roman"/>
          <w:lang w:val="en-US"/>
        </w:rPr>
        <w:t xml:space="preserve"> aiming at </w:t>
      </w:r>
      <w:r w:rsidR="00822681">
        <w:rPr>
          <w:rFonts w:ascii="Times New Roman" w:hAnsi="Times New Roman"/>
          <w:b/>
          <w:bCs/>
          <w:lang w:val="en-US"/>
        </w:rPr>
        <w:t>fighting poverty and social exclusion.</w:t>
      </w:r>
    </w:p>
    <w:p w:rsidR="00D01A04" w:rsidRPr="00835FC8" w:rsidRDefault="00E45D1E" w:rsidP="00D01A04">
      <w:pPr>
        <w:pStyle w:val="BodyText"/>
        <w:ind w:right="26"/>
        <w:jc w:val="both"/>
        <w:rPr>
          <w:rFonts w:ascii="Times New Roman" w:hAnsi="Times New Roman"/>
          <w:lang w:val="en-US"/>
        </w:rPr>
      </w:pPr>
      <w:r>
        <w:rPr>
          <w:rFonts w:ascii="Times New Roman" w:hAnsi="Times New Roman"/>
          <w:lang w:val="en-US"/>
        </w:rPr>
        <w:t>182.</w:t>
      </w:r>
      <w:r>
        <w:rPr>
          <w:rFonts w:ascii="Times New Roman" w:hAnsi="Times New Roman"/>
          <w:lang w:val="en-US"/>
        </w:rPr>
        <w:tab/>
      </w:r>
      <w:r w:rsidR="00D01A04" w:rsidRPr="00835FC8">
        <w:rPr>
          <w:rFonts w:ascii="Times New Roman" w:hAnsi="Times New Roman"/>
          <w:lang w:val="en-US"/>
        </w:rPr>
        <w:t xml:space="preserve">The </w:t>
      </w:r>
      <w:r w:rsidR="007B21C3" w:rsidRPr="00835FC8">
        <w:rPr>
          <w:rFonts w:ascii="Times New Roman" w:hAnsi="Times New Roman"/>
          <w:lang w:val="en-US"/>
        </w:rPr>
        <w:t>D</w:t>
      </w:r>
      <w:r w:rsidR="007B21C3">
        <w:rPr>
          <w:rFonts w:ascii="Times New Roman" w:hAnsi="Times New Roman"/>
          <w:lang w:val="en-US"/>
        </w:rPr>
        <w:t xml:space="preserve">irectorate </w:t>
      </w:r>
      <w:r w:rsidR="007B21C3" w:rsidRPr="00835FC8">
        <w:rPr>
          <w:rFonts w:ascii="Times New Roman" w:hAnsi="Times New Roman"/>
          <w:lang w:val="en-US"/>
        </w:rPr>
        <w:t>of</w:t>
      </w:r>
      <w:r w:rsidR="00D01A04" w:rsidRPr="00835FC8">
        <w:rPr>
          <w:rFonts w:ascii="Times New Roman" w:hAnsi="Times New Roman"/>
          <w:lang w:val="en-US"/>
        </w:rPr>
        <w:t xml:space="preserve"> </w:t>
      </w:r>
      <w:r w:rsidR="00D01A04">
        <w:rPr>
          <w:rFonts w:ascii="Times New Roman" w:hAnsi="Times New Roman"/>
          <w:lang w:val="en-US"/>
        </w:rPr>
        <w:t>Social Welfare</w:t>
      </w:r>
      <w:r w:rsidR="00D01A04" w:rsidRPr="00835FC8">
        <w:rPr>
          <w:rFonts w:ascii="Times New Roman" w:hAnsi="Times New Roman"/>
          <w:lang w:val="en-US"/>
        </w:rPr>
        <w:t xml:space="preserve"> and </w:t>
      </w:r>
      <w:r w:rsidR="00D01A04">
        <w:rPr>
          <w:rFonts w:ascii="Times New Roman" w:hAnsi="Times New Roman"/>
          <w:lang w:val="en-US"/>
        </w:rPr>
        <w:t xml:space="preserve">Social </w:t>
      </w:r>
      <w:r w:rsidR="00D01A04" w:rsidRPr="00835FC8">
        <w:rPr>
          <w:rFonts w:ascii="Times New Roman" w:hAnsi="Times New Roman"/>
          <w:lang w:val="en-US"/>
        </w:rPr>
        <w:t>Solidarity</w:t>
      </w:r>
      <w:r w:rsidR="00D01A04">
        <w:rPr>
          <w:rFonts w:ascii="Times New Roman" w:hAnsi="Times New Roman"/>
          <w:lang w:val="en-US"/>
        </w:rPr>
        <w:t xml:space="preserve"> of the Ministry of Health and Social Solidarity,</w:t>
      </w:r>
      <w:r w:rsidR="00D01A04" w:rsidRPr="00835FC8">
        <w:rPr>
          <w:rFonts w:ascii="Times New Roman" w:hAnsi="Times New Roman"/>
          <w:lang w:val="en-US"/>
        </w:rPr>
        <w:t xml:space="preserve"> </w:t>
      </w:r>
      <w:r w:rsidR="00D01A04">
        <w:rPr>
          <w:rFonts w:ascii="Times New Roman" w:hAnsi="Times New Roman"/>
          <w:lang w:val="en-US"/>
        </w:rPr>
        <w:t>and more specifically the Section of Refugees and Asylum Seekers Protection,</w:t>
      </w:r>
      <w:r w:rsidR="00D01A04" w:rsidRPr="00835FC8" w:rsidDel="007E2178">
        <w:rPr>
          <w:rFonts w:ascii="Times New Roman" w:hAnsi="Times New Roman"/>
          <w:lang w:val="en-US"/>
        </w:rPr>
        <w:t xml:space="preserve"> </w:t>
      </w:r>
      <w:r w:rsidR="00D01A04">
        <w:rPr>
          <w:rFonts w:ascii="Times New Roman" w:hAnsi="Times New Roman"/>
          <w:lang w:val="en-US"/>
        </w:rPr>
        <w:t xml:space="preserve">is </w:t>
      </w:r>
      <w:r w:rsidR="00D01A04" w:rsidRPr="00835FC8">
        <w:rPr>
          <w:rFonts w:ascii="Times New Roman" w:hAnsi="Times New Roman"/>
          <w:lang w:val="en-US"/>
        </w:rPr>
        <w:t xml:space="preserve">the </w:t>
      </w:r>
      <w:r w:rsidR="00D01A04">
        <w:rPr>
          <w:rFonts w:ascii="Times New Roman" w:hAnsi="Times New Roman"/>
          <w:lang w:val="en-US"/>
        </w:rPr>
        <w:t xml:space="preserve">designated </w:t>
      </w:r>
      <w:r w:rsidR="00D01A04" w:rsidRPr="00835FC8">
        <w:rPr>
          <w:rFonts w:ascii="Times New Roman" w:hAnsi="Times New Roman"/>
          <w:lang w:val="en-US"/>
        </w:rPr>
        <w:t xml:space="preserve">National Responsible Authority of the </w:t>
      </w:r>
      <w:r w:rsidR="00D01A04" w:rsidRPr="0027108C">
        <w:rPr>
          <w:rFonts w:ascii="Times New Roman" w:hAnsi="Times New Roman"/>
          <w:bCs/>
          <w:lang w:val="en-US"/>
        </w:rPr>
        <w:t>European Refugee Fund</w:t>
      </w:r>
      <w:r w:rsidR="00D01A04" w:rsidRPr="00D01A04">
        <w:rPr>
          <w:rFonts w:ascii="Times New Roman" w:hAnsi="Times New Roman"/>
          <w:bCs/>
          <w:lang w:val="en-US"/>
        </w:rPr>
        <w:t xml:space="preserve">. </w:t>
      </w:r>
      <w:r w:rsidR="00D01A04" w:rsidRPr="00835FC8">
        <w:rPr>
          <w:rFonts w:ascii="Times New Roman" w:hAnsi="Times New Roman"/>
          <w:lang w:val="en-US"/>
        </w:rPr>
        <w:t xml:space="preserve">From </w:t>
      </w:r>
      <w:r w:rsidR="00D01A04">
        <w:rPr>
          <w:rFonts w:ascii="Times New Roman" w:hAnsi="Times New Roman"/>
          <w:lang w:val="en-US"/>
        </w:rPr>
        <w:t>the item</w:t>
      </w:r>
      <w:r w:rsidR="00D01A04" w:rsidRPr="00835FC8">
        <w:rPr>
          <w:rFonts w:ascii="Times New Roman" w:hAnsi="Times New Roman"/>
          <w:lang w:val="en-US"/>
        </w:rPr>
        <w:t xml:space="preserve"> 5216 on “Expenditure for providing food, sustenance and care to political refugees”</w:t>
      </w:r>
      <w:r w:rsidR="00D01A04">
        <w:rPr>
          <w:rFonts w:ascii="Times New Roman" w:hAnsi="Times New Roman"/>
          <w:lang w:val="en-US"/>
        </w:rPr>
        <w:t xml:space="preserve"> of the state budget</w:t>
      </w:r>
      <w:r w:rsidR="00D01A04" w:rsidRPr="00835FC8">
        <w:rPr>
          <w:rFonts w:ascii="Times New Roman" w:hAnsi="Times New Roman"/>
          <w:lang w:val="en-US"/>
        </w:rPr>
        <w:t xml:space="preserve">, an amount of 2,265,000.000 € was granted in </w:t>
      </w:r>
      <w:r w:rsidR="00D01A04" w:rsidRPr="00835FC8">
        <w:rPr>
          <w:rFonts w:ascii="Times New Roman" w:hAnsi="Times New Roman"/>
          <w:b/>
          <w:bCs/>
          <w:lang w:val="en-US"/>
        </w:rPr>
        <w:t>2006</w:t>
      </w:r>
      <w:r w:rsidR="00D01A04" w:rsidRPr="00835FC8">
        <w:rPr>
          <w:rFonts w:ascii="Times New Roman" w:hAnsi="Times New Roman"/>
          <w:lang w:val="en-US"/>
        </w:rPr>
        <w:t xml:space="preserve">, 1,977,500.00 € in </w:t>
      </w:r>
      <w:r w:rsidR="00D01A04" w:rsidRPr="00835FC8">
        <w:rPr>
          <w:rFonts w:ascii="Times New Roman" w:hAnsi="Times New Roman"/>
          <w:b/>
          <w:bCs/>
          <w:lang w:val="en-US"/>
        </w:rPr>
        <w:t>2007,</w:t>
      </w:r>
      <w:r w:rsidR="00D01A04" w:rsidRPr="00835FC8">
        <w:rPr>
          <w:rFonts w:ascii="Times New Roman" w:hAnsi="Times New Roman"/>
          <w:lang w:val="en-US"/>
        </w:rPr>
        <w:t xml:space="preserve"> 2,132,490.80 € in </w:t>
      </w:r>
      <w:r w:rsidR="00D01A04" w:rsidRPr="00835FC8">
        <w:rPr>
          <w:rFonts w:ascii="Times New Roman" w:hAnsi="Times New Roman"/>
          <w:b/>
          <w:bCs/>
          <w:lang w:val="en-US"/>
        </w:rPr>
        <w:t>2008, 2.401.182</w:t>
      </w:r>
      <w:r w:rsidR="00D01A04">
        <w:rPr>
          <w:rFonts w:ascii="Times New Roman" w:hAnsi="Times New Roman"/>
          <w:b/>
          <w:bCs/>
          <w:lang w:val="en-US"/>
        </w:rPr>
        <w:t xml:space="preserve"> €</w:t>
      </w:r>
      <w:r w:rsidR="00D01A04" w:rsidRPr="00835FC8">
        <w:rPr>
          <w:rFonts w:ascii="Times New Roman" w:hAnsi="Times New Roman"/>
          <w:b/>
          <w:bCs/>
          <w:lang w:val="en-US"/>
        </w:rPr>
        <w:t xml:space="preserve"> in 2009</w:t>
      </w:r>
      <w:r w:rsidR="00D01A04">
        <w:rPr>
          <w:rFonts w:ascii="Times New Roman" w:hAnsi="Times New Roman"/>
          <w:b/>
          <w:bCs/>
          <w:lang w:val="en-US"/>
        </w:rPr>
        <w:t>, 1.392.986,3 €</w:t>
      </w:r>
      <w:r w:rsidR="00D01A04" w:rsidRPr="00835FC8">
        <w:rPr>
          <w:rFonts w:ascii="Times New Roman" w:hAnsi="Times New Roman"/>
          <w:b/>
          <w:bCs/>
          <w:lang w:val="en-US"/>
        </w:rPr>
        <w:t xml:space="preserve"> in 2010</w:t>
      </w:r>
      <w:r w:rsidR="00D01A04">
        <w:rPr>
          <w:rFonts w:ascii="Times New Roman" w:hAnsi="Times New Roman"/>
          <w:b/>
          <w:bCs/>
          <w:lang w:val="en-US"/>
        </w:rPr>
        <w:t xml:space="preserve"> and 1.692.769,61 € in 2011</w:t>
      </w:r>
      <w:r w:rsidR="00D01A04" w:rsidRPr="00835FC8">
        <w:rPr>
          <w:rFonts w:ascii="Times New Roman" w:hAnsi="Times New Roman"/>
          <w:lang w:val="en-US"/>
        </w:rPr>
        <w:t>.</w:t>
      </w:r>
    </w:p>
    <w:p w:rsidR="00D01A04" w:rsidRPr="00835FC8" w:rsidRDefault="00E45D1E" w:rsidP="00D01A04">
      <w:pPr>
        <w:pStyle w:val="BodyText"/>
        <w:ind w:right="26"/>
        <w:jc w:val="both"/>
        <w:rPr>
          <w:rFonts w:ascii="Times New Roman" w:hAnsi="Times New Roman"/>
          <w:lang w:val="en-US"/>
        </w:rPr>
      </w:pPr>
      <w:r>
        <w:rPr>
          <w:rFonts w:ascii="Times New Roman" w:hAnsi="Times New Roman"/>
          <w:lang w:val="en-US"/>
        </w:rPr>
        <w:lastRenderedPageBreak/>
        <w:t>183.</w:t>
      </w:r>
      <w:r>
        <w:rPr>
          <w:rFonts w:ascii="Times New Roman" w:hAnsi="Times New Roman"/>
          <w:lang w:val="en-US"/>
        </w:rPr>
        <w:tab/>
      </w:r>
      <w:r w:rsidR="00D01A04" w:rsidRPr="00835FC8">
        <w:rPr>
          <w:rFonts w:ascii="Times New Roman" w:hAnsi="Times New Roman"/>
          <w:lang w:val="en-US"/>
        </w:rPr>
        <w:t>The amount of the national participation (25%) in the European Refugee Fund was as follows:</w:t>
      </w:r>
    </w:p>
    <w:p w:rsidR="00822681" w:rsidRDefault="00D01A04">
      <w:pPr>
        <w:pStyle w:val="BodyText"/>
        <w:ind w:right="26"/>
        <w:jc w:val="both"/>
        <w:rPr>
          <w:rFonts w:ascii="Times New Roman" w:hAnsi="Times New Roman"/>
          <w:lang w:val="en-US"/>
        </w:rPr>
      </w:pPr>
      <w:r w:rsidRPr="00835FC8">
        <w:rPr>
          <w:rFonts w:ascii="Times New Roman" w:hAnsi="Times New Roman"/>
          <w:lang w:val="en-US"/>
        </w:rPr>
        <w:t xml:space="preserve">Year </w:t>
      </w:r>
      <w:r w:rsidRPr="00835FC8">
        <w:rPr>
          <w:rFonts w:ascii="Times New Roman" w:hAnsi="Times New Roman"/>
          <w:b/>
          <w:bCs/>
          <w:lang w:val="en-US"/>
        </w:rPr>
        <w:t>2006</w:t>
      </w:r>
      <w:r w:rsidRPr="00835FC8">
        <w:rPr>
          <w:rFonts w:ascii="Times New Roman" w:hAnsi="Times New Roman"/>
          <w:lang w:val="en-US"/>
        </w:rPr>
        <w:t xml:space="preserve">: </w:t>
      </w:r>
      <w:r w:rsidRPr="00835FC8">
        <w:rPr>
          <w:rFonts w:ascii="Times New Roman" w:hAnsi="Times New Roman"/>
          <w:b/>
          <w:bCs/>
          <w:lang w:val="en-US"/>
        </w:rPr>
        <w:t>227,583.00 €,</w:t>
      </w:r>
      <w:r w:rsidRPr="00835FC8">
        <w:rPr>
          <w:rFonts w:ascii="Times New Roman" w:hAnsi="Times New Roman"/>
          <w:lang w:val="en-US"/>
        </w:rPr>
        <w:t xml:space="preserve"> year </w:t>
      </w:r>
      <w:r w:rsidRPr="00835FC8">
        <w:rPr>
          <w:rFonts w:ascii="Times New Roman" w:hAnsi="Times New Roman"/>
          <w:b/>
          <w:bCs/>
          <w:lang w:val="en-US"/>
        </w:rPr>
        <w:t>2007</w:t>
      </w:r>
      <w:r w:rsidRPr="00835FC8">
        <w:rPr>
          <w:rFonts w:ascii="Times New Roman" w:hAnsi="Times New Roman"/>
          <w:lang w:val="en-US"/>
        </w:rPr>
        <w:t xml:space="preserve">: </w:t>
      </w:r>
      <w:r w:rsidRPr="00835FC8">
        <w:rPr>
          <w:rFonts w:ascii="Times New Roman" w:hAnsi="Times New Roman"/>
          <w:b/>
          <w:bCs/>
          <w:lang w:val="en-US"/>
        </w:rPr>
        <w:t>193,205.42 €,</w:t>
      </w:r>
      <w:r w:rsidRPr="00835FC8">
        <w:rPr>
          <w:rFonts w:ascii="Times New Roman" w:hAnsi="Times New Roman"/>
          <w:lang w:val="en-US"/>
        </w:rPr>
        <w:t xml:space="preserve"> year </w:t>
      </w:r>
      <w:r w:rsidRPr="00835FC8">
        <w:rPr>
          <w:rFonts w:ascii="Times New Roman" w:hAnsi="Times New Roman"/>
          <w:b/>
          <w:bCs/>
          <w:lang w:val="en-US"/>
        </w:rPr>
        <w:t>2008</w:t>
      </w:r>
      <w:r w:rsidRPr="00835FC8">
        <w:rPr>
          <w:rFonts w:ascii="Times New Roman" w:hAnsi="Times New Roman"/>
          <w:lang w:val="en-US"/>
        </w:rPr>
        <w:t xml:space="preserve">: </w:t>
      </w:r>
      <w:r w:rsidRPr="00835FC8">
        <w:rPr>
          <w:rFonts w:ascii="Times New Roman" w:hAnsi="Times New Roman"/>
          <w:b/>
          <w:bCs/>
          <w:lang w:val="en-US"/>
        </w:rPr>
        <w:t>341,493.00 €</w:t>
      </w:r>
      <w:r w:rsidRPr="004E37B3">
        <w:rPr>
          <w:rFonts w:ascii="Times New Roman" w:hAnsi="Times New Roman"/>
          <w:b/>
          <w:bCs/>
          <w:lang w:val="en-GB"/>
        </w:rPr>
        <w:t xml:space="preserve">, </w:t>
      </w:r>
      <w:r>
        <w:rPr>
          <w:rFonts w:ascii="Times New Roman" w:hAnsi="Times New Roman"/>
          <w:b/>
          <w:bCs/>
          <w:lang w:val="en-US"/>
        </w:rPr>
        <w:t>year 2009: 986.432,96 €, year 2010: 1.488.162,92€ and year 2011: 1.603.526.17 €</w:t>
      </w:r>
      <w:r>
        <w:rPr>
          <w:rStyle w:val="FootnoteReference"/>
          <w:b/>
          <w:bCs/>
          <w:lang w:val="en-US"/>
        </w:rPr>
        <w:footnoteReference w:id="1"/>
      </w:r>
      <w:r w:rsidRPr="00835FC8">
        <w:rPr>
          <w:rFonts w:ascii="Times New Roman" w:hAnsi="Times New Roman"/>
          <w:b/>
          <w:bCs/>
          <w:lang w:val="en-US"/>
        </w:rPr>
        <w:t>.</w:t>
      </w:r>
    </w:p>
    <w:p w:rsidR="00D01A04" w:rsidRPr="00835FC8" w:rsidRDefault="00E45D1E" w:rsidP="00D01A04">
      <w:pPr>
        <w:pStyle w:val="BodyText"/>
        <w:ind w:right="26"/>
        <w:jc w:val="both"/>
        <w:rPr>
          <w:rFonts w:ascii="Times New Roman" w:hAnsi="Times New Roman"/>
          <w:lang w:val="en-US"/>
        </w:rPr>
      </w:pPr>
      <w:r>
        <w:rPr>
          <w:rFonts w:ascii="Times New Roman" w:hAnsi="Times New Roman"/>
          <w:lang w:val="en-US"/>
        </w:rPr>
        <w:t>184.</w:t>
      </w:r>
      <w:r>
        <w:rPr>
          <w:rFonts w:ascii="Times New Roman" w:hAnsi="Times New Roman"/>
          <w:lang w:val="en-US"/>
        </w:rPr>
        <w:tab/>
      </w:r>
      <w:r w:rsidR="00D01A04" w:rsidRPr="00835FC8">
        <w:rPr>
          <w:rFonts w:ascii="Times New Roman" w:hAnsi="Times New Roman"/>
          <w:lang w:val="en-US"/>
        </w:rPr>
        <w:t xml:space="preserve">With regard to the housing of asylum-seekers and unaccompanied children, </w:t>
      </w:r>
      <w:r w:rsidR="00D01A04">
        <w:rPr>
          <w:rFonts w:ascii="Times New Roman" w:hAnsi="Times New Roman"/>
          <w:lang w:val="en-US"/>
        </w:rPr>
        <w:t>17</w:t>
      </w:r>
      <w:r w:rsidR="00D01A04" w:rsidRPr="00835FC8">
        <w:rPr>
          <w:rFonts w:ascii="Times New Roman" w:hAnsi="Times New Roman"/>
          <w:lang w:val="en-US"/>
        </w:rPr>
        <w:t xml:space="preserve"> accommodation structures are available throughout Greece, with a total capacity of </w:t>
      </w:r>
      <w:r w:rsidR="00D01A04">
        <w:rPr>
          <w:rFonts w:ascii="Times New Roman" w:hAnsi="Times New Roman"/>
          <w:lang w:val="en-US"/>
        </w:rPr>
        <w:t>981</w:t>
      </w:r>
      <w:r w:rsidR="00D01A04" w:rsidRPr="00835FC8">
        <w:rPr>
          <w:rFonts w:ascii="Times New Roman" w:hAnsi="Times New Roman"/>
          <w:lang w:val="en-US"/>
        </w:rPr>
        <w:t xml:space="preserve"> persons. Actions are included in relation to infrastructures or services intended for housing, provision of material support, medical care, social care or assistance in administrative and judicial actions, including the provision of legal assistance, taking into account the special needs of the most vulnerable groups. See the detailed Table in </w:t>
      </w:r>
      <w:r w:rsidR="00D01A04" w:rsidRPr="00FA4E79">
        <w:rPr>
          <w:rFonts w:ascii="Times New Roman" w:hAnsi="Times New Roman"/>
          <w:lang w:val="en-US"/>
        </w:rPr>
        <w:t>Annex  4.</w:t>
      </w:r>
    </w:p>
    <w:p w:rsidR="00D01A04" w:rsidRPr="00835FC8" w:rsidRDefault="00E45D1E" w:rsidP="00D01A04">
      <w:pPr>
        <w:pStyle w:val="BodyText"/>
        <w:ind w:right="26"/>
        <w:jc w:val="both"/>
        <w:rPr>
          <w:rFonts w:ascii="Times New Roman" w:hAnsi="Times New Roman"/>
          <w:lang w:val="en-US"/>
        </w:rPr>
      </w:pPr>
      <w:r>
        <w:rPr>
          <w:rFonts w:ascii="Times New Roman" w:hAnsi="Times New Roman"/>
          <w:lang w:val="en-US"/>
        </w:rPr>
        <w:t>185.</w:t>
      </w:r>
      <w:r>
        <w:rPr>
          <w:rFonts w:ascii="Times New Roman" w:hAnsi="Times New Roman"/>
          <w:lang w:val="en-US"/>
        </w:rPr>
        <w:tab/>
      </w:r>
      <w:r w:rsidR="00D01A04" w:rsidRPr="00835FC8">
        <w:rPr>
          <w:rFonts w:ascii="Times New Roman" w:hAnsi="Times New Roman"/>
          <w:lang w:val="en-US"/>
        </w:rPr>
        <w:t xml:space="preserve">Furthermore, </w:t>
      </w:r>
      <w:r w:rsidR="00D01A04">
        <w:rPr>
          <w:rFonts w:ascii="Times New Roman" w:hAnsi="Times New Roman"/>
          <w:lang w:val="en-US"/>
        </w:rPr>
        <w:t>since 2009, on an annual basis,</w:t>
      </w:r>
      <w:r w:rsidR="00D01A04" w:rsidRPr="00835FC8">
        <w:rPr>
          <w:rFonts w:ascii="Times New Roman" w:hAnsi="Times New Roman"/>
          <w:lang w:val="en-US"/>
        </w:rPr>
        <w:t xml:space="preserve"> Greece applie</w:t>
      </w:r>
      <w:r w:rsidR="00D01A04">
        <w:rPr>
          <w:rFonts w:ascii="Times New Roman" w:hAnsi="Times New Roman"/>
          <w:lang w:val="en-US"/>
        </w:rPr>
        <w:t>s</w:t>
      </w:r>
      <w:r w:rsidR="00D01A04" w:rsidRPr="00835FC8">
        <w:rPr>
          <w:rFonts w:ascii="Times New Roman" w:hAnsi="Times New Roman"/>
          <w:lang w:val="en-US"/>
        </w:rPr>
        <w:t xml:space="preserve"> for the financing of Emergency Measures in accordance with the provisions of the decision establishing the ERF. The financing of Emergency Measures relates to “situations of particular pressure”. Such situations are characterized by “the sudden arrival at particular points on the borders of a large number of third-country nationals who may be in need of international protection, which place exceptionally heavy and urgent demands on the reception facilities, the asylum system or infrastructure of the Member State(s) concerned and may give rise to risks to human life, well being or access to protection provided under Community legislation”. </w:t>
      </w:r>
    </w:p>
    <w:p w:rsidR="00D01A04" w:rsidRPr="00835FC8" w:rsidRDefault="00E45D1E" w:rsidP="00D01A04">
      <w:pPr>
        <w:pStyle w:val="BodyText"/>
        <w:ind w:right="26"/>
        <w:jc w:val="both"/>
        <w:rPr>
          <w:rFonts w:ascii="Times New Roman" w:hAnsi="Times New Roman"/>
          <w:lang w:val="en-US"/>
        </w:rPr>
      </w:pPr>
      <w:r>
        <w:rPr>
          <w:rFonts w:ascii="Times New Roman" w:hAnsi="Times New Roman"/>
          <w:lang w:val="en-US"/>
        </w:rPr>
        <w:t>186.</w:t>
      </w:r>
      <w:r>
        <w:rPr>
          <w:rFonts w:ascii="Times New Roman" w:hAnsi="Times New Roman"/>
          <w:lang w:val="en-US"/>
        </w:rPr>
        <w:tab/>
      </w:r>
      <w:r w:rsidR="00D01A04" w:rsidRPr="00835FC8">
        <w:rPr>
          <w:rFonts w:ascii="Times New Roman" w:hAnsi="Times New Roman"/>
          <w:lang w:val="en-US"/>
        </w:rPr>
        <w:t>The financing from the Fund for Emergency Measures is limited to 6 months and does not exceed 80% of the cost of each measure.</w:t>
      </w:r>
    </w:p>
    <w:p w:rsidR="00D01A04" w:rsidRPr="00835FC8" w:rsidRDefault="00D01A04" w:rsidP="00D01A04">
      <w:pPr>
        <w:pStyle w:val="BodyText"/>
        <w:numPr>
          <w:ilvl w:val="0"/>
          <w:numId w:val="41"/>
        </w:numPr>
        <w:ind w:right="26"/>
        <w:jc w:val="both"/>
        <w:rPr>
          <w:rFonts w:ascii="Times New Roman" w:hAnsi="Times New Roman"/>
          <w:lang w:val="en-US"/>
        </w:rPr>
      </w:pPr>
      <w:r w:rsidRPr="00835FC8">
        <w:rPr>
          <w:rFonts w:ascii="Times New Roman" w:hAnsi="Times New Roman"/>
          <w:lang w:val="en-US"/>
        </w:rPr>
        <w:t>Financing for 2008: €1,569,856.70 (20% national participation: €313,971.34).</w:t>
      </w:r>
    </w:p>
    <w:p w:rsidR="00D01A04" w:rsidRDefault="00D01A04" w:rsidP="00D01A04">
      <w:pPr>
        <w:pStyle w:val="BodyText"/>
        <w:numPr>
          <w:ilvl w:val="0"/>
          <w:numId w:val="41"/>
        </w:numPr>
        <w:ind w:right="26"/>
        <w:jc w:val="both"/>
        <w:rPr>
          <w:rFonts w:ascii="Times New Roman" w:hAnsi="Times New Roman"/>
          <w:lang w:val="en-US"/>
        </w:rPr>
      </w:pPr>
      <w:r w:rsidRPr="00835FC8">
        <w:rPr>
          <w:rFonts w:ascii="Times New Roman" w:hAnsi="Times New Roman"/>
          <w:lang w:val="en-US"/>
        </w:rPr>
        <w:t>Financing for 2009: €386,110.00 (20% national participation: €77,222.00).</w:t>
      </w:r>
    </w:p>
    <w:p w:rsidR="00D01A04" w:rsidRDefault="00D01A04" w:rsidP="00D01A04">
      <w:pPr>
        <w:pStyle w:val="BodyText"/>
        <w:numPr>
          <w:ilvl w:val="0"/>
          <w:numId w:val="41"/>
        </w:numPr>
        <w:ind w:right="26"/>
        <w:jc w:val="both"/>
        <w:rPr>
          <w:rFonts w:ascii="Times New Roman" w:hAnsi="Times New Roman"/>
          <w:lang w:val="en-US"/>
        </w:rPr>
      </w:pPr>
      <w:r>
        <w:rPr>
          <w:rFonts w:ascii="Times New Roman" w:hAnsi="Times New Roman"/>
          <w:lang w:val="en-US"/>
        </w:rPr>
        <w:t>Financing for 2010: € 7.125.988,40 (20% national participation: € 1.425.197.68</w:t>
      </w:r>
    </w:p>
    <w:p w:rsidR="00D01A04" w:rsidRPr="00835FC8" w:rsidRDefault="00D01A04" w:rsidP="00D01A04">
      <w:pPr>
        <w:pStyle w:val="BodyText"/>
        <w:numPr>
          <w:ilvl w:val="0"/>
          <w:numId w:val="41"/>
        </w:numPr>
        <w:ind w:right="26"/>
        <w:jc w:val="both"/>
        <w:rPr>
          <w:rFonts w:ascii="Times New Roman" w:hAnsi="Times New Roman"/>
          <w:lang w:val="en-US"/>
        </w:rPr>
      </w:pPr>
      <w:r>
        <w:rPr>
          <w:rFonts w:ascii="Times New Roman" w:hAnsi="Times New Roman"/>
          <w:lang w:val="en-US"/>
        </w:rPr>
        <w:t>Financing for 2011</w:t>
      </w:r>
      <w:r>
        <w:rPr>
          <w:rStyle w:val="FootnoteReference"/>
          <w:lang w:val="en-US"/>
        </w:rPr>
        <w:footnoteReference w:id="2"/>
      </w:r>
      <w:r>
        <w:rPr>
          <w:rFonts w:ascii="Times New Roman" w:hAnsi="Times New Roman"/>
          <w:lang w:val="en-US"/>
        </w:rPr>
        <w:t>: € 4.687.500 (20% national participation: € 937.500)</w:t>
      </w:r>
    </w:p>
    <w:p w:rsidR="00822681" w:rsidRDefault="00D01A04">
      <w:pPr>
        <w:pStyle w:val="BodyText"/>
        <w:ind w:right="26"/>
        <w:jc w:val="both"/>
        <w:rPr>
          <w:rFonts w:ascii="Times New Roman" w:hAnsi="Times New Roman"/>
          <w:b/>
          <w:bCs/>
          <w:lang w:val="en-US"/>
        </w:rPr>
      </w:pPr>
      <w:r w:rsidRPr="00835FC8">
        <w:rPr>
          <w:rFonts w:ascii="Times New Roman" w:hAnsi="Times New Roman"/>
          <w:bCs/>
          <w:lang w:val="en-US"/>
        </w:rPr>
        <w:t>For more details on projects</w:t>
      </w:r>
      <w:r>
        <w:rPr>
          <w:rFonts w:ascii="Times New Roman" w:hAnsi="Times New Roman"/>
          <w:bCs/>
          <w:lang w:val="en-US"/>
        </w:rPr>
        <w:t xml:space="preserve"> related to the ERF, see Annex 5.</w:t>
      </w:r>
      <w:r w:rsidRPr="00835FC8">
        <w:rPr>
          <w:rFonts w:ascii="Times New Roman" w:hAnsi="Times New Roman"/>
          <w:bCs/>
          <w:lang w:val="en-US"/>
        </w:rPr>
        <w:t xml:space="preserve"> </w:t>
      </w:r>
    </w:p>
    <w:p w:rsidR="00822681" w:rsidRDefault="00E45D1E">
      <w:pPr>
        <w:pStyle w:val="BodyText"/>
        <w:ind w:right="26"/>
        <w:jc w:val="both"/>
        <w:rPr>
          <w:rFonts w:ascii="Times New Roman" w:hAnsi="Times New Roman"/>
          <w:lang w:val="en-US"/>
        </w:rPr>
      </w:pPr>
      <w:r>
        <w:rPr>
          <w:rFonts w:ascii="Times New Roman" w:hAnsi="Times New Roman"/>
          <w:lang w:val="en-US"/>
        </w:rPr>
        <w:t>187.</w:t>
      </w:r>
      <w:r>
        <w:rPr>
          <w:rFonts w:ascii="Times New Roman" w:hAnsi="Times New Roman"/>
          <w:lang w:val="en-US"/>
        </w:rPr>
        <w:tab/>
      </w:r>
      <w:r w:rsidR="00822681">
        <w:rPr>
          <w:rFonts w:ascii="Times New Roman" w:hAnsi="Times New Roman"/>
          <w:lang w:val="en-US"/>
        </w:rPr>
        <w:t xml:space="preserve">The main state agency of the social solidarity and information services network is the </w:t>
      </w:r>
      <w:r w:rsidR="00822681">
        <w:rPr>
          <w:rFonts w:ascii="Times New Roman" w:hAnsi="Times New Roman"/>
          <w:b/>
          <w:bCs/>
          <w:lang w:val="en-US"/>
        </w:rPr>
        <w:t xml:space="preserve">National Social Solidarity Center </w:t>
      </w:r>
      <w:r w:rsidR="00503154">
        <w:rPr>
          <w:rFonts w:ascii="Times New Roman" w:hAnsi="Times New Roman"/>
          <w:lang w:val="en-US"/>
        </w:rPr>
        <w:t xml:space="preserve">(EKKA, </w:t>
      </w:r>
      <w:r w:rsidR="00822681">
        <w:rPr>
          <w:rFonts w:ascii="Times New Roman" w:hAnsi="Times New Roman"/>
          <w:lang w:val="en-US"/>
        </w:rPr>
        <w:t>a legal entity of public law supervised by the Ministry of Health and Social Solidarity). EKKA’s purpose is to coordinate the social support services network for people, families and population groups that go through a strong emotional crisis or an emergency condition.</w:t>
      </w:r>
    </w:p>
    <w:p w:rsidR="00822681" w:rsidRPr="00503154" w:rsidRDefault="00E45D1E" w:rsidP="00503154">
      <w:pPr>
        <w:pStyle w:val="BodyText"/>
        <w:ind w:right="26"/>
        <w:jc w:val="both"/>
        <w:rPr>
          <w:rFonts w:ascii="Times New Roman" w:hAnsi="Times New Roman"/>
          <w:lang w:val="en-US"/>
        </w:rPr>
      </w:pPr>
      <w:r>
        <w:rPr>
          <w:rFonts w:ascii="Times New Roman" w:hAnsi="Times New Roman"/>
          <w:lang w:val="en-US"/>
        </w:rPr>
        <w:t>188.</w:t>
      </w:r>
      <w:r>
        <w:rPr>
          <w:rFonts w:ascii="Times New Roman" w:hAnsi="Times New Roman"/>
          <w:lang w:val="en-US"/>
        </w:rPr>
        <w:tab/>
      </w:r>
      <w:r w:rsidR="007B21C3">
        <w:rPr>
          <w:rFonts w:ascii="Times New Roman" w:hAnsi="Times New Roman"/>
          <w:lang w:val="en-US"/>
        </w:rPr>
        <w:t>EKKA’s target g</w:t>
      </w:r>
      <w:r w:rsidR="00503154" w:rsidRPr="007B21C3">
        <w:rPr>
          <w:rFonts w:ascii="Times New Roman" w:hAnsi="Times New Roman"/>
          <w:lang w:val="en-US"/>
        </w:rPr>
        <w:t>roups</w:t>
      </w:r>
      <w:r w:rsidR="007B21C3" w:rsidRPr="007B21C3">
        <w:rPr>
          <w:rFonts w:ascii="Times New Roman" w:hAnsi="Times New Roman"/>
          <w:lang w:val="en-US"/>
        </w:rPr>
        <w:t xml:space="preserve"> are t</w:t>
      </w:r>
      <w:r w:rsidR="007B21C3">
        <w:rPr>
          <w:rFonts w:ascii="Times New Roman" w:hAnsi="Times New Roman"/>
          <w:lang w:val="en-US"/>
        </w:rPr>
        <w:t xml:space="preserve">he following: </w:t>
      </w:r>
      <w:r w:rsidR="00503154" w:rsidRPr="00503154">
        <w:rPr>
          <w:rFonts w:ascii="Times New Roman" w:hAnsi="Times New Roman"/>
          <w:lang w:val="en-US"/>
        </w:rPr>
        <w:t>Children and adolescents victims of abuse, neglect, abandonment, bullying and li</w:t>
      </w:r>
      <w:r w:rsidR="007B21C3">
        <w:rPr>
          <w:rFonts w:ascii="Times New Roman" w:hAnsi="Times New Roman"/>
          <w:lang w:val="en-US"/>
        </w:rPr>
        <w:t>ving under difficult conditions; runaway adolescents; m</w:t>
      </w:r>
      <w:r w:rsidR="00503154" w:rsidRPr="00503154">
        <w:rPr>
          <w:rFonts w:ascii="Times New Roman" w:hAnsi="Times New Roman"/>
          <w:lang w:val="en-US"/>
        </w:rPr>
        <w:t>ino</w:t>
      </w:r>
      <w:r w:rsidR="007B21C3">
        <w:rPr>
          <w:rFonts w:ascii="Times New Roman" w:hAnsi="Times New Roman"/>
          <w:lang w:val="en-US"/>
        </w:rPr>
        <w:t>rs victims of human trafficking; w</w:t>
      </w:r>
      <w:r w:rsidR="00503154" w:rsidRPr="00503154">
        <w:rPr>
          <w:rFonts w:ascii="Times New Roman" w:hAnsi="Times New Roman"/>
          <w:lang w:val="en-US"/>
        </w:rPr>
        <w:t>omen victims of domestic violence, abuse, abandonment and illegal trafficking aiming at s</w:t>
      </w:r>
      <w:r w:rsidR="007B21C3">
        <w:rPr>
          <w:rFonts w:ascii="Times New Roman" w:hAnsi="Times New Roman"/>
          <w:lang w:val="en-US"/>
        </w:rPr>
        <w:t>exual or financial exploitation; w</w:t>
      </w:r>
      <w:r w:rsidR="00503154" w:rsidRPr="00503154">
        <w:rPr>
          <w:rFonts w:ascii="Times New Roman" w:hAnsi="Times New Roman"/>
          <w:lang w:val="en-US"/>
        </w:rPr>
        <w:t xml:space="preserve">omen ( alone or with their children) in crisis and in financial difficulty </w:t>
      </w:r>
      <w:r w:rsidR="00503154" w:rsidRPr="00503154">
        <w:rPr>
          <w:rFonts w:ascii="Times New Roman" w:hAnsi="Times New Roman"/>
          <w:lang w:val="en-US"/>
        </w:rPr>
        <w:lastRenderedPageBreak/>
        <w:t>o</w:t>
      </w:r>
      <w:r w:rsidR="007B21C3">
        <w:rPr>
          <w:rFonts w:ascii="Times New Roman" w:hAnsi="Times New Roman"/>
          <w:lang w:val="en-US"/>
        </w:rPr>
        <w:t>r in danger of social exclusion; a</w:t>
      </w:r>
      <w:r w:rsidR="00503154" w:rsidRPr="00503154">
        <w:rPr>
          <w:rFonts w:ascii="Times New Roman" w:hAnsi="Times New Roman"/>
          <w:lang w:val="en-US"/>
        </w:rPr>
        <w:t>dults and the elderly i</w:t>
      </w:r>
      <w:r w:rsidR="007B21C3">
        <w:rPr>
          <w:rFonts w:ascii="Times New Roman" w:hAnsi="Times New Roman"/>
          <w:lang w:val="en-US"/>
        </w:rPr>
        <w:t>n need of immediate social care; a</w:t>
      </w:r>
      <w:r w:rsidR="00503154" w:rsidRPr="00503154">
        <w:rPr>
          <w:rFonts w:ascii="Times New Roman" w:hAnsi="Times New Roman"/>
          <w:lang w:val="en-US"/>
        </w:rPr>
        <w:t>dults and the elderly in crisis and extraordinary p</w:t>
      </w:r>
      <w:r w:rsidR="007B21C3">
        <w:rPr>
          <w:rFonts w:ascii="Times New Roman" w:hAnsi="Times New Roman"/>
          <w:lang w:val="en-US"/>
        </w:rPr>
        <w:t>sychological or emotional state; v</w:t>
      </w:r>
      <w:r w:rsidR="00503154" w:rsidRPr="00503154">
        <w:rPr>
          <w:rFonts w:ascii="Times New Roman" w:hAnsi="Times New Roman"/>
          <w:lang w:val="en-US"/>
        </w:rPr>
        <w:t>ictims of discrimination and social exclusion.</w:t>
      </w:r>
    </w:p>
    <w:p w:rsidR="00822681" w:rsidRPr="00E45D1E" w:rsidRDefault="00E45D1E">
      <w:pPr>
        <w:pStyle w:val="BodyText"/>
        <w:ind w:right="26"/>
        <w:jc w:val="both"/>
        <w:rPr>
          <w:rFonts w:ascii="Times New Roman" w:hAnsi="Times New Roman"/>
          <w:lang w:val="en-US"/>
        </w:rPr>
      </w:pPr>
      <w:r>
        <w:rPr>
          <w:rFonts w:ascii="Times New Roman" w:hAnsi="Times New Roman"/>
          <w:lang w:val="en-US"/>
        </w:rPr>
        <w:t>189.</w:t>
      </w:r>
      <w:r>
        <w:rPr>
          <w:rFonts w:ascii="Times New Roman" w:hAnsi="Times New Roman"/>
          <w:lang w:val="en-US"/>
        </w:rPr>
        <w:tab/>
      </w:r>
      <w:r w:rsidR="00822681">
        <w:rPr>
          <w:rFonts w:ascii="Times New Roman" w:hAnsi="Times New Roman"/>
          <w:lang w:val="en-US"/>
        </w:rPr>
        <w:t>EKKA’s services do not target vulnerable groups encountering problems that require special therapeutic intervention, such as drug addicts, persons with HIV/AIDS and mentally ill persons.</w:t>
      </w:r>
      <w:r w:rsidR="00822681">
        <w:rPr>
          <w:rFonts w:ascii="Times New Roman" w:hAnsi="Times New Roman"/>
          <w:bCs/>
          <w:lang w:val="en-US"/>
        </w:rPr>
        <w:t>The main EKKA’s services are the following:</w:t>
      </w:r>
    </w:p>
    <w:p w:rsidR="00822681" w:rsidRDefault="00E45D1E">
      <w:pPr>
        <w:pStyle w:val="BodyText"/>
        <w:ind w:right="26"/>
        <w:jc w:val="both"/>
        <w:rPr>
          <w:rFonts w:ascii="Times New Roman" w:hAnsi="Times New Roman"/>
          <w:i/>
          <w:lang w:val="en-US"/>
        </w:rPr>
      </w:pPr>
      <w:r w:rsidRPr="00E45D1E">
        <w:rPr>
          <w:rFonts w:ascii="Times New Roman" w:hAnsi="Times New Roman"/>
          <w:lang w:val="en-US"/>
        </w:rPr>
        <w:t>190.</w:t>
      </w:r>
      <w:r>
        <w:rPr>
          <w:rFonts w:ascii="Times New Roman" w:hAnsi="Times New Roman"/>
          <w:i/>
          <w:lang w:val="en-US"/>
        </w:rPr>
        <w:tab/>
      </w:r>
      <w:r w:rsidR="00822681">
        <w:rPr>
          <w:rFonts w:ascii="Times New Roman" w:hAnsi="Times New Roman"/>
          <w:i/>
          <w:lang w:val="en-US"/>
        </w:rPr>
        <w:t>A) Help Line</w:t>
      </w:r>
      <w:r w:rsidR="00503154">
        <w:rPr>
          <w:rFonts w:ascii="Times New Roman" w:hAnsi="Times New Roman"/>
          <w:i/>
          <w:lang w:val="en-US"/>
        </w:rPr>
        <w:t>s</w:t>
      </w:r>
      <w:r w:rsidR="00822681">
        <w:rPr>
          <w:rFonts w:ascii="Times New Roman" w:hAnsi="Times New Roman"/>
          <w:i/>
          <w:lang w:val="en-US"/>
        </w:rPr>
        <w:t xml:space="preserve"> 197</w:t>
      </w:r>
    </w:p>
    <w:p w:rsidR="00822681" w:rsidRDefault="00503154" w:rsidP="00503154">
      <w:pPr>
        <w:pStyle w:val="BodyText"/>
        <w:ind w:right="26"/>
        <w:jc w:val="both"/>
        <w:rPr>
          <w:rFonts w:ascii="Times New Roman" w:hAnsi="Times New Roman"/>
          <w:lang w:val="en-US"/>
        </w:rPr>
      </w:pPr>
      <w:r>
        <w:rPr>
          <w:rFonts w:ascii="Times New Roman" w:hAnsi="Times New Roman"/>
          <w:lang w:val="en-US"/>
        </w:rPr>
        <w:t>The Help Line 197 o</w:t>
      </w:r>
      <w:r w:rsidR="00822681">
        <w:rPr>
          <w:rFonts w:ascii="Times New Roman" w:hAnsi="Times New Roman"/>
          <w:lang w:val="en-US"/>
        </w:rPr>
        <w:t>perates on a 24/7 basis, receives around 1600 calls per month and provides counselling and psychological support and information.</w:t>
      </w:r>
      <w:r>
        <w:rPr>
          <w:rFonts w:ascii="Times New Roman" w:hAnsi="Times New Roman"/>
          <w:lang w:val="en-US"/>
        </w:rPr>
        <w:t xml:space="preserve"> The </w:t>
      </w:r>
      <w:r w:rsidRPr="00503154">
        <w:rPr>
          <w:rFonts w:ascii="Times New Roman" w:hAnsi="Times New Roman"/>
          <w:lang w:val="en-US"/>
        </w:rPr>
        <w:t>Emergency Social Protection Child Line ‘1107’</w:t>
      </w:r>
      <w:r>
        <w:rPr>
          <w:rFonts w:ascii="Times New Roman" w:hAnsi="Times New Roman"/>
          <w:lang w:val="en-US"/>
        </w:rPr>
        <w:t xml:space="preserve"> o</w:t>
      </w:r>
      <w:r w:rsidRPr="00503154">
        <w:rPr>
          <w:rFonts w:ascii="Times New Roman" w:hAnsi="Times New Roman"/>
          <w:lang w:val="en-US"/>
        </w:rPr>
        <w:t xml:space="preserve">perates </w:t>
      </w:r>
      <w:r>
        <w:rPr>
          <w:rFonts w:ascii="Times New Roman" w:hAnsi="Times New Roman"/>
          <w:lang w:val="en-US"/>
        </w:rPr>
        <w:t xml:space="preserve">on a 24/7 basis, </w:t>
      </w:r>
      <w:r w:rsidRPr="00503154">
        <w:rPr>
          <w:rFonts w:ascii="Times New Roman" w:hAnsi="Times New Roman"/>
          <w:lang w:val="en-US"/>
        </w:rPr>
        <w:t>aims at the social protection of the minors in danger and offers cou</w:t>
      </w:r>
      <w:r>
        <w:rPr>
          <w:rFonts w:ascii="Times New Roman" w:hAnsi="Times New Roman"/>
          <w:lang w:val="en-US"/>
        </w:rPr>
        <w:t>nseling and support to children</w:t>
      </w:r>
      <w:r w:rsidRPr="00503154">
        <w:rPr>
          <w:rFonts w:ascii="Times New Roman" w:hAnsi="Times New Roman"/>
          <w:lang w:val="en-US"/>
        </w:rPr>
        <w:t>, adolescents and parents</w:t>
      </w:r>
      <w:r>
        <w:rPr>
          <w:rFonts w:ascii="Times New Roman" w:hAnsi="Times New Roman"/>
          <w:lang w:val="en-US"/>
        </w:rPr>
        <w:t>.</w:t>
      </w:r>
    </w:p>
    <w:p w:rsidR="00822681" w:rsidRDefault="00E45D1E">
      <w:pPr>
        <w:pStyle w:val="BodyText"/>
        <w:ind w:right="26"/>
        <w:jc w:val="both"/>
        <w:rPr>
          <w:rFonts w:ascii="Times New Roman" w:hAnsi="Times New Roman"/>
          <w:i/>
          <w:lang w:val="fr-FR"/>
        </w:rPr>
      </w:pPr>
      <w:r w:rsidRPr="00E45D1E">
        <w:rPr>
          <w:rFonts w:ascii="Times New Roman" w:hAnsi="Times New Roman"/>
          <w:lang w:val="fr-FR"/>
        </w:rPr>
        <w:t>191.</w:t>
      </w:r>
      <w:r w:rsidRPr="00E45D1E">
        <w:rPr>
          <w:rFonts w:ascii="Times New Roman" w:hAnsi="Times New Roman"/>
          <w:lang w:val="fr-FR"/>
        </w:rPr>
        <w:tab/>
      </w:r>
      <w:r w:rsidR="00822681">
        <w:rPr>
          <w:rFonts w:ascii="Times New Roman" w:hAnsi="Times New Roman"/>
          <w:i/>
          <w:lang w:val="fr-FR"/>
        </w:rPr>
        <w:t>B) Social Support Centres (KKS)</w:t>
      </w:r>
    </w:p>
    <w:p w:rsidR="00822681" w:rsidRDefault="00822681">
      <w:pPr>
        <w:pStyle w:val="BodyText"/>
        <w:ind w:right="26"/>
        <w:jc w:val="both"/>
        <w:rPr>
          <w:rFonts w:ascii="Times New Roman" w:hAnsi="Times New Roman"/>
          <w:lang w:val="en-US"/>
        </w:rPr>
      </w:pPr>
      <w:r>
        <w:rPr>
          <w:rFonts w:ascii="Times New Roman" w:hAnsi="Times New Roman"/>
          <w:lang w:val="en-US"/>
        </w:rPr>
        <w:t xml:space="preserve">They are established in the Prefectures of Attica and </w:t>
      </w:r>
      <w:smartTag w:uri="urn:schemas-microsoft-com:office:smarttags" w:element="City">
        <w:smartTag w:uri="urn:schemas-microsoft-com:office:smarttags" w:element="place">
          <w:r>
            <w:rPr>
              <w:rFonts w:ascii="Times New Roman" w:hAnsi="Times New Roman"/>
              <w:lang w:val="en-US"/>
            </w:rPr>
            <w:t>Thessaloniki</w:t>
          </w:r>
        </w:smartTag>
      </w:smartTag>
      <w:r>
        <w:rPr>
          <w:rFonts w:ascii="Times New Roman" w:hAnsi="Times New Roman"/>
          <w:lang w:val="en-US"/>
        </w:rPr>
        <w:t xml:space="preserve">, located in various municipalities and form the regional entry points into the system of immediate social care. For the list of the Social Support Centres operating in </w:t>
      </w:r>
      <w:smartTag w:uri="urn:schemas-microsoft-com:office:smarttags" w:element="place">
        <w:r>
          <w:rPr>
            <w:rFonts w:ascii="Times New Roman" w:hAnsi="Times New Roman"/>
            <w:lang w:val="en-US"/>
          </w:rPr>
          <w:t>Attica</w:t>
        </w:r>
      </w:smartTag>
      <w:r>
        <w:rPr>
          <w:rFonts w:ascii="Times New Roman" w:hAnsi="Times New Roman"/>
          <w:lang w:val="en-US"/>
        </w:rPr>
        <w:t xml:space="preserve"> and </w:t>
      </w:r>
      <w:smartTag w:uri="urn:schemas-microsoft-com:office:smarttags" w:element="City">
        <w:smartTag w:uri="urn:schemas-microsoft-com:office:smarttags" w:element="place">
          <w:r>
            <w:rPr>
              <w:rFonts w:ascii="Times New Roman" w:hAnsi="Times New Roman"/>
              <w:lang w:val="en-US"/>
            </w:rPr>
            <w:t>Thessaloniki</w:t>
          </w:r>
        </w:smartTag>
      </w:smartTag>
      <w:r>
        <w:rPr>
          <w:rFonts w:ascii="Times New Roman" w:hAnsi="Times New Roman"/>
          <w:lang w:val="en-US"/>
        </w:rPr>
        <w:t xml:space="preserve">, see Annex </w:t>
      </w:r>
      <w:r>
        <w:rPr>
          <w:rFonts w:ascii="Times New Roman" w:hAnsi="Times New Roman"/>
          <w:lang w:val="en-GB"/>
        </w:rPr>
        <w:t>6</w:t>
      </w:r>
      <w:r>
        <w:rPr>
          <w:rFonts w:ascii="Times New Roman" w:hAnsi="Times New Roman"/>
          <w:lang w:val="en-US"/>
        </w:rPr>
        <w:t>.</w:t>
      </w:r>
    </w:p>
    <w:p w:rsidR="00822681" w:rsidRPr="00E45D1E" w:rsidRDefault="00E45D1E" w:rsidP="00E45D1E">
      <w:pPr>
        <w:pStyle w:val="BodyText"/>
        <w:ind w:right="26"/>
        <w:jc w:val="both"/>
        <w:rPr>
          <w:rFonts w:ascii="Times New Roman" w:hAnsi="Times New Roman"/>
          <w:lang w:val="en-US"/>
        </w:rPr>
      </w:pPr>
      <w:r w:rsidRPr="00E45D1E">
        <w:rPr>
          <w:rFonts w:ascii="Times New Roman" w:hAnsi="Times New Roman"/>
          <w:lang w:val="en-US"/>
        </w:rPr>
        <w:t>192.</w:t>
      </w:r>
      <w:r w:rsidRPr="00E45D1E">
        <w:rPr>
          <w:rFonts w:ascii="Times New Roman" w:hAnsi="Times New Roman"/>
          <w:lang w:val="en-US"/>
        </w:rPr>
        <w:tab/>
      </w:r>
      <w:r w:rsidR="00822681" w:rsidRPr="00E45D1E">
        <w:rPr>
          <w:rFonts w:ascii="Times New Roman" w:hAnsi="Times New Roman"/>
          <w:i/>
          <w:lang w:val="en-US"/>
        </w:rPr>
        <w:t>C) Crisis Management Service</w:t>
      </w:r>
    </w:p>
    <w:p w:rsidR="00822681" w:rsidRDefault="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It intervenes in cases of unforeseen events (such as natural disasters) and accidents with a major number of victims. It offers social and psychological suppo</w:t>
      </w:r>
      <w:r w:rsidR="007B21C3">
        <w:rPr>
          <w:rFonts w:ascii="Times New Roman" w:hAnsi="Times New Roman" w:cs="Times New Roman"/>
          <w:bCs/>
          <w:color w:val="auto"/>
          <w:sz w:val="24"/>
          <w:szCs w:val="24"/>
          <w:lang w:val="en-US"/>
        </w:rPr>
        <w:t xml:space="preserve">rt to the victims or/and their </w:t>
      </w:r>
      <w:r w:rsidRPr="00503154">
        <w:rPr>
          <w:rFonts w:ascii="Times New Roman" w:hAnsi="Times New Roman" w:cs="Times New Roman"/>
          <w:bCs/>
          <w:color w:val="auto"/>
          <w:sz w:val="24"/>
          <w:szCs w:val="24"/>
          <w:lang w:val="en-US"/>
        </w:rPr>
        <w:t>relatives.</w:t>
      </w:r>
    </w:p>
    <w:p w:rsidR="00E45D1E" w:rsidRDefault="00E45D1E">
      <w:pPr>
        <w:pStyle w:val="BodyText2"/>
        <w:ind w:right="26"/>
        <w:jc w:val="both"/>
        <w:rPr>
          <w:rFonts w:ascii="Times New Roman" w:hAnsi="Times New Roman" w:cs="Times New Roman"/>
          <w:bCs/>
          <w:color w:val="auto"/>
          <w:sz w:val="24"/>
          <w:szCs w:val="24"/>
          <w:lang w:val="en-US"/>
        </w:rPr>
      </w:pPr>
    </w:p>
    <w:p w:rsidR="00503154" w:rsidRPr="00503154" w:rsidRDefault="00E45D1E" w:rsidP="00503154">
      <w:pPr>
        <w:pStyle w:val="BodyText2"/>
        <w:ind w:right="26"/>
        <w:jc w:val="both"/>
        <w:rPr>
          <w:rFonts w:ascii="Times New Roman" w:hAnsi="Times New Roman" w:cs="Times New Roman"/>
          <w:bCs/>
          <w:i/>
          <w:color w:val="auto"/>
          <w:sz w:val="24"/>
          <w:szCs w:val="24"/>
          <w:lang w:val="en-US"/>
        </w:rPr>
      </w:pPr>
      <w:r>
        <w:rPr>
          <w:rFonts w:ascii="Times New Roman" w:hAnsi="Times New Roman" w:cs="Times New Roman"/>
          <w:bCs/>
          <w:color w:val="auto"/>
          <w:sz w:val="24"/>
          <w:szCs w:val="24"/>
          <w:lang w:val="en-US"/>
        </w:rPr>
        <w:t>193.</w:t>
      </w:r>
      <w:r>
        <w:rPr>
          <w:rFonts w:ascii="Times New Roman" w:hAnsi="Times New Roman" w:cs="Times New Roman"/>
          <w:bCs/>
          <w:color w:val="auto"/>
          <w:sz w:val="24"/>
          <w:szCs w:val="24"/>
          <w:lang w:val="en-US"/>
        </w:rPr>
        <w:tab/>
      </w:r>
      <w:r w:rsidR="00503154" w:rsidRPr="00503154">
        <w:rPr>
          <w:rFonts w:ascii="Times New Roman" w:hAnsi="Times New Roman" w:cs="Times New Roman"/>
          <w:bCs/>
          <w:i/>
          <w:color w:val="auto"/>
          <w:sz w:val="24"/>
          <w:szCs w:val="24"/>
          <w:lang w:val="en-US"/>
        </w:rPr>
        <w:t>D) Immediate Social Intervention Service</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It includes three units:</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i. On-the-spot intervention agency;</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ii. The Agency’s Reception-Guesthouse offering accommodation for a few days.</w:t>
      </w:r>
    </w:p>
    <w:p w:rsidR="00503154" w:rsidRDefault="00503154"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 xml:space="preserve">iii. Guesthouses offering accommodation for a few days to serious and emergency cases. </w:t>
      </w:r>
    </w:p>
    <w:p w:rsidR="00E45D1E" w:rsidRDefault="00E45D1E" w:rsidP="00503154">
      <w:pPr>
        <w:pStyle w:val="BodyText2"/>
        <w:ind w:right="26"/>
        <w:jc w:val="both"/>
        <w:rPr>
          <w:rFonts w:ascii="Times New Roman" w:hAnsi="Times New Roman" w:cs="Times New Roman"/>
          <w:bCs/>
          <w:color w:val="auto"/>
          <w:sz w:val="24"/>
          <w:szCs w:val="24"/>
          <w:lang w:val="en-US"/>
        </w:rPr>
      </w:pPr>
    </w:p>
    <w:p w:rsidR="00503154" w:rsidRPr="00503154" w:rsidRDefault="00E45D1E"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194.</w:t>
      </w:r>
      <w:r>
        <w:rPr>
          <w:rFonts w:ascii="Times New Roman" w:hAnsi="Times New Roman" w:cs="Times New Roman"/>
          <w:bCs/>
          <w:color w:val="auto"/>
          <w:sz w:val="24"/>
          <w:szCs w:val="24"/>
          <w:lang w:val="en-US"/>
        </w:rPr>
        <w:tab/>
      </w:r>
      <w:r w:rsidR="00503154" w:rsidRPr="00E45D1E">
        <w:rPr>
          <w:rFonts w:ascii="Times New Roman" w:hAnsi="Times New Roman" w:cs="Times New Roman"/>
          <w:bCs/>
          <w:i/>
          <w:color w:val="auto"/>
          <w:sz w:val="24"/>
          <w:szCs w:val="24"/>
          <w:lang w:val="en-US"/>
        </w:rPr>
        <w:t>E) Shelters offering short-term accommodation</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 xml:space="preserve"> The short-term accommodation Shelters offer temporary accommodation (lodging and care) to vulnerable groups of the population, such as adolescents, women victims of domestic violence, with or without children, and, more generally, women victims of violence, victims of trafficking with the purpose of exploitation and adults who find themselves in an emergency situation. Besides accommodation, the Shelters   provide the beneficiaries, during their stay, with counseling and psychological support by specialized personnel.</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p>
    <w:p w:rsidR="00503154" w:rsidRPr="00503154" w:rsidRDefault="00E45D1E"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195.</w:t>
      </w:r>
      <w:r>
        <w:rPr>
          <w:rFonts w:ascii="Times New Roman" w:hAnsi="Times New Roman" w:cs="Times New Roman"/>
          <w:bCs/>
          <w:color w:val="auto"/>
          <w:sz w:val="24"/>
          <w:szCs w:val="24"/>
          <w:lang w:val="en-US"/>
        </w:rPr>
        <w:tab/>
      </w:r>
      <w:r w:rsidR="00503154" w:rsidRPr="00E45D1E">
        <w:rPr>
          <w:rFonts w:ascii="Times New Roman" w:hAnsi="Times New Roman" w:cs="Times New Roman"/>
          <w:bCs/>
          <w:i/>
          <w:color w:val="auto"/>
          <w:sz w:val="24"/>
          <w:szCs w:val="24"/>
          <w:lang w:val="en-US"/>
        </w:rPr>
        <w:t>F) Social Shelters for the Homeless</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There are two Shelters in Athens with a capacity of 100 beds.</w:t>
      </w:r>
      <w:r w:rsidR="0084311C">
        <w:rPr>
          <w:rFonts w:ascii="Times New Roman" w:hAnsi="Times New Roman" w:cs="Times New Roman"/>
          <w:bCs/>
          <w:color w:val="auto"/>
          <w:sz w:val="24"/>
          <w:szCs w:val="24"/>
          <w:lang w:val="en-US"/>
        </w:rPr>
        <w:t xml:space="preserve"> </w:t>
      </w:r>
      <w:r w:rsidRPr="00503154">
        <w:rPr>
          <w:rFonts w:ascii="Times New Roman" w:hAnsi="Times New Roman" w:cs="Times New Roman"/>
          <w:bCs/>
          <w:color w:val="auto"/>
          <w:sz w:val="24"/>
          <w:szCs w:val="24"/>
          <w:lang w:val="en-US"/>
        </w:rPr>
        <w:t>There is also another Shelter operated by the Greek Red Cross with a capacity of 80 beds. The National Center for Social Solidarity partic</w:t>
      </w:r>
      <w:r w:rsidR="007B21C3">
        <w:rPr>
          <w:rFonts w:ascii="Times New Roman" w:hAnsi="Times New Roman" w:cs="Times New Roman"/>
          <w:bCs/>
          <w:color w:val="auto"/>
          <w:sz w:val="24"/>
          <w:szCs w:val="24"/>
          <w:lang w:val="en-US"/>
        </w:rPr>
        <w:t xml:space="preserve">ipates offering  </w:t>
      </w:r>
      <w:r w:rsidRPr="00503154">
        <w:rPr>
          <w:rFonts w:ascii="Times New Roman" w:hAnsi="Times New Roman" w:cs="Times New Roman"/>
          <w:bCs/>
          <w:color w:val="auto"/>
          <w:sz w:val="24"/>
          <w:szCs w:val="24"/>
          <w:lang w:val="en-US"/>
        </w:rPr>
        <w:t>the building while the Ministry of Health and Social Solidarity finances the project.The Guesthouses cooperate with the Social Support Centers of the region in which they are situated and with other public or private bodies engaged in the same field (Local Government Organizations, NGOs, Non-Profit Organizations, etc) in order to find the most appropriate, feasible solution to the problems of the persons concerned.</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p>
    <w:p w:rsidR="00503154" w:rsidRDefault="00503154"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 xml:space="preserve">More specifically, 6 guesthouses operated in 2008 at the National Social Solidarity Centre, one for short-term accommodation and five for long-term accommodation (up to 6 months). </w:t>
      </w:r>
    </w:p>
    <w:p w:rsidR="0084311C" w:rsidRPr="00503154" w:rsidRDefault="0084311C" w:rsidP="00503154">
      <w:pPr>
        <w:pStyle w:val="BodyText2"/>
        <w:ind w:right="26"/>
        <w:jc w:val="both"/>
        <w:rPr>
          <w:rFonts w:ascii="Times New Roman" w:hAnsi="Times New Roman" w:cs="Times New Roman"/>
          <w:bCs/>
          <w:color w:val="auto"/>
          <w:sz w:val="24"/>
          <w:szCs w:val="24"/>
          <w:lang w:val="en-US"/>
        </w:rPr>
      </w:pPr>
    </w:p>
    <w:p w:rsidR="00503154" w:rsidRPr="00503154" w:rsidRDefault="00E45D1E"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196.</w:t>
      </w:r>
      <w:r>
        <w:rPr>
          <w:rFonts w:ascii="Times New Roman" w:hAnsi="Times New Roman" w:cs="Times New Roman"/>
          <w:bCs/>
          <w:color w:val="auto"/>
          <w:sz w:val="24"/>
          <w:szCs w:val="24"/>
          <w:lang w:val="en-US"/>
        </w:rPr>
        <w:tab/>
      </w:r>
      <w:r w:rsidR="00503154" w:rsidRPr="00E45D1E">
        <w:rPr>
          <w:rFonts w:ascii="Times New Roman" w:hAnsi="Times New Roman" w:cs="Times New Roman"/>
          <w:bCs/>
          <w:i/>
          <w:color w:val="auto"/>
          <w:sz w:val="24"/>
          <w:szCs w:val="24"/>
          <w:lang w:val="en-US"/>
        </w:rPr>
        <w:t>G) Counselling/Therapeutic Project dealing with domestic violence</w:t>
      </w:r>
      <w:r w:rsidR="00503154" w:rsidRPr="00503154">
        <w:rPr>
          <w:rFonts w:ascii="Times New Roman" w:hAnsi="Times New Roman" w:cs="Times New Roman"/>
          <w:bCs/>
          <w:color w:val="auto"/>
          <w:sz w:val="24"/>
          <w:szCs w:val="24"/>
          <w:lang w:val="en-US"/>
        </w:rPr>
        <w:t>: the “criminal mediation” special counselling/therapeutic project has been implemented since 2007, in Athens and Thessaloniki, as provided for in the Law 3500/2006 on combating domestic violence.</w:t>
      </w:r>
      <w:r w:rsidR="007159BE">
        <w:rPr>
          <w:rFonts w:ascii="Times New Roman" w:hAnsi="Times New Roman" w:cs="Times New Roman"/>
          <w:bCs/>
          <w:color w:val="auto"/>
          <w:sz w:val="24"/>
          <w:szCs w:val="24"/>
          <w:lang w:val="en-US"/>
        </w:rPr>
        <w:t xml:space="preserve"> </w:t>
      </w:r>
      <w:r w:rsidR="00503154" w:rsidRPr="00503154">
        <w:rPr>
          <w:rFonts w:ascii="Times New Roman" w:hAnsi="Times New Roman" w:cs="Times New Roman"/>
          <w:bCs/>
          <w:color w:val="auto"/>
          <w:sz w:val="24"/>
          <w:szCs w:val="24"/>
          <w:lang w:val="en-US"/>
        </w:rPr>
        <w:t>For a list of relevant programmes, see Annex 7.</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p>
    <w:p w:rsidR="00503154" w:rsidRPr="00503154" w:rsidRDefault="00E45D1E"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197.</w:t>
      </w:r>
      <w:r>
        <w:rPr>
          <w:rFonts w:ascii="Times New Roman" w:hAnsi="Times New Roman" w:cs="Times New Roman"/>
          <w:bCs/>
          <w:color w:val="auto"/>
          <w:sz w:val="24"/>
          <w:szCs w:val="24"/>
          <w:lang w:val="en-US"/>
        </w:rPr>
        <w:tab/>
      </w:r>
      <w:r w:rsidR="007B21C3" w:rsidRPr="00E45D1E">
        <w:rPr>
          <w:rFonts w:ascii="Times New Roman" w:hAnsi="Times New Roman" w:cs="Times New Roman"/>
          <w:bCs/>
          <w:i/>
          <w:color w:val="auto"/>
          <w:sz w:val="24"/>
          <w:szCs w:val="24"/>
          <w:lang w:val="en-US"/>
        </w:rPr>
        <w:t>H)</w:t>
      </w:r>
      <w:r w:rsidR="00503154" w:rsidRPr="00E45D1E">
        <w:rPr>
          <w:rFonts w:ascii="Times New Roman" w:hAnsi="Times New Roman" w:cs="Times New Roman"/>
          <w:bCs/>
          <w:i/>
          <w:color w:val="auto"/>
          <w:sz w:val="24"/>
          <w:szCs w:val="24"/>
          <w:lang w:val="en-US"/>
        </w:rPr>
        <w:t xml:space="preserve"> Service for the management of Accommodation Requests</w:t>
      </w:r>
      <w:r w:rsidR="00503154" w:rsidRPr="00503154">
        <w:rPr>
          <w:rFonts w:ascii="Times New Roman" w:hAnsi="Times New Roman" w:cs="Times New Roman"/>
          <w:bCs/>
          <w:color w:val="auto"/>
          <w:sz w:val="24"/>
          <w:szCs w:val="24"/>
          <w:lang w:val="en-US"/>
        </w:rPr>
        <w:t xml:space="preserve"> of </w:t>
      </w:r>
      <w:r w:rsidR="007B21C3">
        <w:rPr>
          <w:rFonts w:ascii="Times New Roman" w:hAnsi="Times New Roman" w:cs="Times New Roman"/>
          <w:bCs/>
          <w:color w:val="auto"/>
          <w:sz w:val="24"/>
          <w:szCs w:val="24"/>
          <w:lang w:val="en-US"/>
        </w:rPr>
        <w:t xml:space="preserve">Asylum Seekers </w:t>
      </w:r>
      <w:r w:rsidR="00503154" w:rsidRPr="00503154">
        <w:rPr>
          <w:rFonts w:ascii="Times New Roman" w:hAnsi="Times New Roman" w:cs="Times New Roman"/>
          <w:bCs/>
          <w:color w:val="auto"/>
          <w:sz w:val="24"/>
          <w:szCs w:val="24"/>
          <w:lang w:val="en-US"/>
        </w:rPr>
        <w:t>and Unaccompanied Minors.</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p>
    <w:p w:rsidR="00503154" w:rsidRPr="00503154" w:rsidRDefault="00E45D1E"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198.</w:t>
      </w:r>
      <w:r>
        <w:rPr>
          <w:rFonts w:ascii="Times New Roman" w:hAnsi="Times New Roman" w:cs="Times New Roman"/>
          <w:bCs/>
          <w:color w:val="auto"/>
          <w:sz w:val="24"/>
          <w:szCs w:val="24"/>
          <w:lang w:val="en-US"/>
        </w:rPr>
        <w:tab/>
      </w:r>
      <w:r w:rsidR="007B21C3" w:rsidRPr="00E45D1E">
        <w:rPr>
          <w:rFonts w:ascii="Times New Roman" w:hAnsi="Times New Roman" w:cs="Times New Roman"/>
          <w:bCs/>
          <w:i/>
          <w:color w:val="auto"/>
          <w:sz w:val="24"/>
          <w:szCs w:val="24"/>
          <w:lang w:val="en-US"/>
        </w:rPr>
        <w:t>I</w:t>
      </w:r>
      <w:r w:rsidR="00503154" w:rsidRPr="00E45D1E">
        <w:rPr>
          <w:rFonts w:ascii="Times New Roman" w:hAnsi="Times New Roman" w:cs="Times New Roman"/>
          <w:bCs/>
          <w:i/>
          <w:color w:val="auto"/>
          <w:sz w:val="24"/>
          <w:szCs w:val="24"/>
          <w:lang w:val="en-US"/>
        </w:rPr>
        <w:t>) Operational Center</w:t>
      </w:r>
      <w:r w:rsidR="00503154" w:rsidRPr="00503154">
        <w:rPr>
          <w:rFonts w:ascii="Times New Roman" w:hAnsi="Times New Roman" w:cs="Times New Roman"/>
          <w:bCs/>
          <w:color w:val="auto"/>
          <w:sz w:val="24"/>
          <w:szCs w:val="24"/>
          <w:lang w:val="en-US"/>
        </w:rPr>
        <w:t xml:space="preserve"> for the support and coordination of welfare actions of the Child Protection Network Services.</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p>
    <w:p w:rsidR="00503154" w:rsidRPr="00503154" w:rsidRDefault="00E45D1E"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199.</w:t>
      </w:r>
      <w:r>
        <w:rPr>
          <w:rFonts w:ascii="Times New Roman" w:hAnsi="Times New Roman" w:cs="Times New Roman"/>
          <w:bCs/>
          <w:color w:val="auto"/>
          <w:sz w:val="24"/>
          <w:szCs w:val="24"/>
          <w:lang w:val="en-US"/>
        </w:rPr>
        <w:tab/>
      </w:r>
      <w:r w:rsidR="007B21C3" w:rsidRPr="00E45D1E">
        <w:rPr>
          <w:rFonts w:ascii="Times New Roman" w:hAnsi="Times New Roman" w:cs="Times New Roman"/>
          <w:bCs/>
          <w:i/>
          <w:color w:val="auto"/>
          <w:sz w:val="24"/>
          <w:szCs w:val="24"/>
          <w:lang w:val="en-US"/>
        </w:rPr>
        <w:t>K</w:t>
      </w:r>
      <w:r w:rsidR="00503154" w:rsidRPr="00E45D1E">
        <w:rPr>
          <w:rFonts w:ascii="Times New Roman" w:hAnsi="Times New Roman" w:cs="Times New Roman"/>
          <w:bCs/>
          <w:i/>
          <w:color w:val="auto"/>
          <w:sz w:val="24"/>
          <w:szCs w:val="24"/>
          <w:lang w:val="en-US"/>
        </w:rPr>
        <w:t>) Finally, EKKA</w:t>
      </w:r>
      <w:r w:rsidR="00503154" w:rsidRPr="00503154">
        <w:rPr>
          <w:rFonts w:ascii="Times New Roman" w:hAnsi="Times New Roman" w:cs="Times New Roman"/>
          <w:bCs/>
          <w:color w:val="auto"/>
          <w:sz w:val="24"/>
          <w:szCs w:val="24"/>
          <w:lang w:val="en-US"/>
        </w:rPr>
        <w:t xml:space="preserve"> has been assigned as the competent authority to implement the Subproject “Expertise for the Operational Development Plan of the National Support Programme and Care for the </w:t>
      </w:r>
      <w:r w:rsidR="0084311C">
        <w:rPr>
          <w:rFonts w:ascii="Times New Roman" w:hAnsi="Times New Roman" w:cs="Times New Roman"/>
          <w:bCs/>
          <w:color w:val="auto"/>
          <w:sz w:val="24"/>
          <w:szCs w:val="24"/>
          <w:lang w:val="en-US"/>
        </w:rPr>
        <w:t>Homeless</w:t>
      </w:r>
      <w:r w:rsidR="00503154" w:rsidRPr="00503154">
        <w:rPr>
          <w:rFonts w:ascii="Times New Roman" w:hAnsi="Times New Roman" w:cs="Times New Roman"/>
          <w:bCs/>
          <w:color w:val="auto"/>
          <w:sz w:val="24"/>
          <w:szCs w:val="24"/>
          <w:lang w:val="en-US"/>
        </w:rPr>
        <w:t>”.</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p>
    <w:p w:rsidR="00503154" w:rsidRPr="00503154" w:rsidRDefault="00E45D1E"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200.</w:t>
      </w:r>
      <w:r>
        <w:rPr>
          <w:rFonts w:ascii="Times New Roman" w:hAnsi="Times New Roman" w:cs="Times New Roman"/>
          <w:bCs/>
          <w:color w:val="auto"/>
          <w:sz w:val="24"/>
          <w:szCs w:val="24"/>
          <w:lang w:val="en-US"/>
        </w:rPr>
        <w:tab/>
      </w:r>
      <w:r w:rsidR="00503154" w:rsidRPr="00503154">
        <w:rPr>
          <w:rFonts w:ascii="Times New Roman" w:hAnsi="Times New Roman" w:cs="Times New Roman"/>
          <w:bCs/>
          <w:color w:val="auto"/>
          <w:sz w:val="24"/>
          <w:szCs w:val="24"/>
          <w:lang w:val="en-US"/>
        </w:rPr>
        <w:t>Legal entities of public and private law (including churches, NGOs etc) were funded by the Special State Lottery for purposes of social benefits to persons being in a state of emergency (poor, homeless, etc).</w:t>
      </w:r>
    </w:p>
    <w:p w:rsidR="00503154" w:rsidRPr="00503154" w:rsidRDefault="00503154" w:rsidP="00503154">
      <w:pPr>
        <w:pStyle w:val="BodyText2"/>
        <w:ind w:right="26"/>
        <w:jc w:val="both"/>
        <w:rPr>
          <w:rFonts w:ascii="Times New Roman" w:hAnsi="Times New Roman" w:cs="Times New Roman"/>
          <w:bCs/>
          <w:color w:val="auto"/>
          <w:sz w:val="24"/>
          <w:szCs w:val="24"/>
          <w:lang w:val="en-US"/>
        </w:rPr>
      </w:pPr>
    </w:p>
    <w:p w:rsidR="00822681" w:rsidRPr="00503154" w:rsidRDefault="00E45D1E" w:rsidP="00503154">
      <w:pPr>
        <w:pStyle w:val="BodyText2"/>
        <w:ind w:right="26"/>
        <w:jc w:val="both"/>
        <w:rPr>
          <w:rFonts w:ascii="Times New Roman" w:hAnsi="Times New Roman" w:cs="Times New Roman"/>
          <w:b/>
          <w:bCs/>
          <w:color w:val="auto"/>
          <w:sz w:val="24"/>
          <w:szCs w:val="24"/>
          <w:lang w:val="en-US"/>
        </w:rPr>
      </w:pPr>
      <w:r>
        <w:rPr>
          <w:rFonts w:ascii="Times New Roman" w:hAnsi="Times New Roman" w:cs="Times New Roman"/>
          <w:bCs/>
          <w:color w:val="auto"/>
          <w:sz w:val="24"/>
          <w:szCs w:val="24"/>
          <w:lang w:val="en-US"/>
        </w:rPr>
        <w:t>201.</w:t>
      </w:r>
      <w:r>
        <w:rPr>
          <w:rFonts w:ascii="Times New Roman" w:hAnsi="Times New Roman" w:cs="Times New Roman"/>
          <w:bCs/>
          <w:color w:val="auto"/>
          <w:sz w:val="24"/>
          <w:szCs w:val="24"/>
          <w:lang w:val="en-US"/>
        </w:rPr>
        <w:tab/>
      </w:r>
      <w:r w:rsidR="00503154" w:rsidRPr="00503154">
        <w:rPr>
          <w:rFonts w:ascii="Times New Roman" w:hAnsi="Times New Roman" w:cs="Times New Roman"/>
          <w:bCs/>
          <w:color w:val="auto"/>
          <w:sz w:val="24"/>
          <w:szCs w:val="24"/>
          <w:lang w:val="en-US"/>
        </w:rPr>
        <w:t>The Ministry of Health and Social Solidarity, in the context of the People’s Housing Programme, concedes houses owned by it to families with housing problems.</w:t>
      </w:r>
    </w:p>
    <w:p w:rsidR="00822681" w:rsidRDefault="00822681">
      <w:pPr>
        <w:pStyle w:val="BodyText"/>
        <w:spacing w:before="120"/>
        <w:ind w:right="26"/>
        <w:jc w:val="both"/>
        <w:rPr>
          <w:rFonts w:ascii="Times New Roman" w:hAnsi="Times New Roman"/>
          <w:b/>
          <w:lang w:val="en-US"/>
        </w:rPr>
      </w:pPr>
      <w:r>
        <w:rPr>
          <w:rFonts w:ascii="Times New Roman" w:hAnsi="Times New Roman"/>
          <w:b/>
          <w:lang w:val="en-US"/>
        </w:rPr>
        <w:t>Greek Roma and the right to adequate housing (p</w:t>
      </w:r>
      <w:r w:rsidR="00B446CD">
        <w:rPr>
          <w:rFonts w:ascii="Times New Roman" w:hAnsi="Times New Roman"/>
          <w:b/>
          <w:lang w:val="en-US"/>
        </w:rPr>
        <w:t xml:space="preserve">aras. </w:t>
      </w:r>
      <w:r w:rsidR="00B446CD">
        <w:rPr>
          <w:rFonts w:ascii="Times New Roman" w:hAnsi="Times New Roman"/>
          <w:b/>
          <w:lang w:val="en-GB"/>
        </w:rPr>
        <w:t>1</w:t>
      </w:r>
      <w:r>
        <w:rPr>
          <w:rFonts w:ascii="Times New Roman" w:hAnsi="Times New Roman"/>
          <w:b/>
          <w:lang w:val="en-GB"/>
        </w:rPr>
        <w:t xml:space="preserve">1, </w:t>
      </w:r>
      <w:r>
        <w:rPr>
          <w:rFonts w:ascii="Times New Roman" w:hAnsi="Times New Roman"/>
          <w:b/>
          <w:lang w:val="en-US"/>
        </w:rPr>
        <w:t>21, 22, 44 of the Committee’s Concluding Observations)</w:t>
      </w:r>
    </w:p>
    <w:p w:rsidR="00115FC9" w:rsidRDefault="00E45D1E" w:rsidP="00E45D1E">
      <w:pPr>
        <w:tabs>
          <w:tab w:val="num" w:pos="0"/>
        </w:tabs>
        <w:ind w:right="26"/>
        <w:jc w:val="both"/>
        <w:rPr>
          <w:lang w:val="en-US"/>
        </w:rPr>
      </w:pPr>
      <w:r>
        <w:rPr>
          <w:lang w:val="en-US"/>
        </w:rPr>
        <w:t>202.</w:t>
      </w:r>
      <w:r>
        <w:rPr>
          <w:lang w:val="en-US"/>
        </w:rPr>
        <w:tab/>
      </w:r>
      <w:r w:rsidR="00115FC9">
        <w:rPr>
          <w:lang w:val="en-US"/>
        </w:rPr>
        <w:t xml:space="preserve">Greek Roma </w:t>
      </w:r>
      <w:r w:rsidR="00115FC9" w:rsidRPr="001C2F25">
        <w:rPr>
          <w:lang w:val="en-US"/>
        </w:rPr>
        <w:t>have declared themselves an integral part of the Greek population</w:t>
      </w:r>
      <w:r w:rsidR="00FB3853">
        <w:rPr>
          <w:lang w:val="en-US"/>
        </w:rPr>
        <w:t xml:space="preserve">; </w:t>
      </w:r>
      <w:r w:rsidR="00115FC9" w:rsidRPr="001C2F25">
        <w:rPr>
          <w:lang w:val="en-US"/>
        </w:rPr>
        <w:t xml:space="preserve">they are </w:t>
      </w:r>
      <w:r w:rsidR="00115FC9" w:rsidRPr="001C2F25">
        <w:rPr>
          <w:bCs/>
          <w:lang w:val="en-US"/>
        </w:rPr>
        <w:t>Greek citizens</w:t>
      </w:r>
      <w:r w:rsidR="00115FC9">
        <w:rPr>
          <w:bCs/>
          <w:lang w:val="en-US"/>
        </w:rPr>
        <w:t xml:space="preserve"> of no disputed or questioned legal status </w:t>
      </w:r>
      <w:r w:rsidR="00FB3853">
        <w:rPr>
          <w:bCs/>
          <w:lang w:val="en-US"/>
        </w:rPr>
        <w:t>and enjoy</w:t>
      </w:r>
      <w:r w:rsidR="00115FC9">
        <w:rPr>
          <w:bCs/>
          <w:lang w:val="en-US"/>
        </w:rPr>
        <w:t xml:space="preserve"> full citizenship rights</w:t>
      </w:r>
      <w:r w:rsidR="00FB3853">
        <w:rPr>
          <w:lang w:val="en-US"/>
        </w:rPr>
        <w:t xml:space="preserve">, as well as </w:t>
      </w:r>
      <w:r w:rsidR="00115FC9" w:rsidRPr="001C2F25">
        <w:rPr>
          <w:lang w:val="en-US"/>
        </w:rPr>
        <w:t>all civil and political, economic, social and cultural rights. They further participate in</w:t>
      </w:r>
      <w:r w:rsidR="00115FC9">
        <w:rPr>
          <w:lang w:val="en-US"/>
        </w:rPr>
        <w:t xml:space="preserve"> mainstream political parties </w:t>
      </w:r>
      <w:r w:rsidR="00115FC9" w:rsidRPr="001C2F25">
        <w:rPr>
          <w:lang w:val="en-US"/>
        </w:rPr>
        <w:t>and are</w:t>
      </w:r>
      <w:r w:rsidR="00115FC9">
        <w:rPr>
          <w:lang w:val="en-US"/>
        </w:rPr>
        <w:t xml:space="preserve"> </w:t>
      </w:r>
      <w:r w:rsidR="00FB3853">
        <w:rPr>
          <w:lang w:val="en-US"/>
        </w:rPr>
        <w:t>equally</w:t>
      </w:r>
      <w:r w:rsidR="00115FC9" w:rsidRPr="001C2F25">
        <w:rPr>
          <w:lang w:val="en-US"/>
        </w:rPr>
        <w:t xml:space="preserve"> entitled to</w:t>
      </w:r>
      <w:r w:rsidR="00115FC9">
        <w:rPr>
          <w:lang w:val="en-US"/>
        </w:rPr>
        <w:t xml:space="preserve"> </w:t>
      </w:r>
      <w:r w:rsidR="00FB3853">
        <w:rPr>
          <w:lang w:val="en-US"/>
        </w:rPr>
        <w:t xml:space="preserve">establish </w:t>
      </w:r>
      <w:r w:rsidR="00FB3853" w:rsidRPr="001C2F25">
        <w:rPr>
          <w:lang w:val="en-US"/>
        </w:rPr>
        <w:t>political</w:t>
      </w:r>
      <w:r w:rsidR="00115FC9" w:rsidRPr="001C2F25">
        <w:rPr>
          <w:lang w:val="en-US"/>
        </w:rPr>
        <w:t xml:space="preserve"> parties; they </w:t>
      </w:r>
      <w:r w:rsidR="00FB3853">
        <w:rPr>
          <w:lang w:val="en-US"/>
        </w:rPr>
        <w:t>effectively</w:t>
      </w:r>
      <w:r w:rsidR="00115FC9">
        <w:rPr>
          <w:lang w:val="en-US"/>
        </w:rPr>
        <w:t xml:space="preserve"> exercise electoral rights </w:t>
      </w:r>
      <w:r w:rsidR="00115FC9" w:rsidRPr="001C2F25">
        <w:rPr>
          <w:lang w:val="en-US"/>
        </w:rPr>
        <w:t>and hold elected posts,</w:t>
      </w:r>
      <w:r w:rsidR="00115FC9">
        <w:rPr>
          <w:lang w:val="en-US"/>
        </w:rPr>
        <w:t xml:space="preserve"> particularly at local Government Structures, </w:t>
      </w:r>
      <w:r w:rsidR="00115FC9" w:rsidRPr="001C2F25">
        <w:rPr>
          <w:lang w:val="en-US"/>
        </w:rPr>
        <w:t>organize themselves in collective bodies</w:t>
      </w:r>
      <w:r w:rsidR="00115FC9">
        <w:rPr>
          <w:lang w:val="en-US"/>
        </w:rPr>
        <w:t xml:space="preserve"> at the Local and Central Level</w:t>
      </w:r>
      <w:r w:rsidR="00115FC9" w:rsidRPr="001C2F25">
        <w:rPr>
          <w:lang w:val="en-US"/>
        </w:rPr>
        <w:t xml:space="preserve"> and participate in</w:t>
      </w:r>
      <w:r w:rsidR="00115FC9">
        <w:rPr>
          <w:lang w:val="en-US"/>
        </w:rPr>
        <w:t xml:space="preserve"> </w:t>
      </w:r>
      <w:r w:rsidR="00115FC9" w:rsidRPr="001C2F25">
        <w:rPr>
          <w:lang w:val="en-US"/>
        </w:rPr>
        <w:t>public life</w:t>
      </w:r>
      <w:r w:rsidR="00115FC9">
        <w:rPr>
          <w:lang w:val="en-US"/>
        </w:rPr>
        <w:t xml:space="preserve">. </w:t>
      </w:r>
      <w:r w:rsidR="00115FC9" w:rsidRPr="001C2F25">
        <w:rPr>
          <w:lang w:val="en-US"/>
        </w:rPr>
        <w:t>Furthermore, with respect to their community’s particular life style and needs, but also due to further adverse living conditi</w:t>
      </w:r>
      <w:r w:rsidR="00FB3853">
        <w:rPr>
          <w:lang w:val="en-US"/>
        </w:rPr>
        <w:t>ons resulting in effect to a</w:t>
      </w:r>
      <w:r w:rsidR="00115FC9" w:rsidRPr="001C2F25">
        <w:rPr>
          <w:lang w:val="en-US"/>
        </w:rPr>
        <w:t xml:space="preserve"> limited access to </w:t>
      </w:r>
      <w:r w:rsidR="00FB3853">
        <w:rPr>
          <w:lang w:val="en-US"/>
        </w:rPr>
        <w:t xml:space="preserve">the </w:t>
      </w:r>
      <w:r w:rsidR="00115FC9" w:rsidRPr="001C2F25">
        <w:rPr>
          <w:lang w:val="en-US"/>
        </w:rPr>
        <w:t xml:space="preserve">economic, social and civil rights provided by the Constitution </w:t>
      </w:r>
      <w:r w:rsidR="00FB3853">
        <w:rPr>
          <w:lang w:val="en-US"/>
        </w:rPr>
        <w:t>to</w:t>
      </w:r>
      <w:r w:rsidR="00115FC9" w:rsidRPr="001C2F25">
        <w:rPr>
          <w:lang w:val="en-US"/>
        </w:rPr>
        <w:t xml:space="preserve"> all Greek citizens, Roma have been recognized as a socially vulnerable group of the Greek population, for the support of which additional proactive measures have been necessitated to offset all forms of social exclusion</w:t>
      </w:r>
      <w:r w:rsidR="00115FC9">
        <w:rPr>
          <w:lang w:val="en-US"/>
        </w:rPr>
        <w:t xml:space="preserve"> or potential discrimination </w:t>
      </w:r>
      <w:r w:rsidR="00115FC9" w:rsidRPr="001C2F25">
        <w:rPr>
          <w:lang w:val="en-US"/>
        </w:rPr>
        <w:t xml:space="preserve"> faced by them. </w:t>
      </w:r>
    </w:p>
    <w:p w:rsidR="00FB3853" w:rsidRPr="001C2F25" w:rsidRDefault="00FB3853" w:rsidP="00115FC9">
      <w:pPr>
        <w:tabs>
          <w:tab w:val="num" w:pos="2160"/>
        </w:tabs>
        <w:ind w:right="26"/>
        <w:jc w:val="both"/>
        <w:rPr>
          <w:lang w:val="en-US"/>
        </w:rPr>
      </w:pPr>
    </w:p>
    <w:p w:rsidR="00115FC9" w:rsidRPr="00ED5D46" w:rsidRDefault="00E45D1E" w:rsidP="00115FC9">
      <w:pPr>
        <w:ind w:right="26"/>
        <w:jc w:val="both"/>
        <w:rPr>
          <w:lang w:val="en-US"/>
        </w:rPr>
      </w:pPr>
      <w:r>
        <w:rPr>
          <w:lang w:val="en-US"/>
        </w:rPr>
        <w:t>203.</w:t>
      </w:r>
      <w:r>
        <w:rPr>
          <w:lang w:val="en-US"/>
        </w:rPr>
        <w:tab/>
      </w:r>
      <w:r w:rsidR="00115FC9" w:rsidRPr="00ED5D46">
        <w:rPr>
          <w:lang w:val="en-US"/>
        </w:rPr>
        <w:t>An</w:t>
      </w:r>
      <w:r w:rsidR="00115FC9">
        <w:rPr>
          <w:lang w:val="en-US"/>
        </w:rPr>
        <w:t xml:space="preserve"> </w:t>
      </w:r>
      <w:r w:rsidR="00115FC9" w:rsidRPr="00ED5D46">
        <w:rPr>
          <w:lang w:val="en-US"/>
        </w:rPr>
        <w:t xml:space="preserve">Integrated Action Plan </w:t>
      </w:r>
      <w:r w:rsidR="00FB3853">
        <w:rPr>
          <w:lang w:val="en-US"/>
        </w:rPr>
        <w:t xml:space="preserve">(IAP) </w:t>
      </w:r>
      <w:r w:rsidR="00115FC9" w:rsidRPr="00ED5D46">
        <w:rPr>
          <w:lang w:val="en-US"/>
        </w:rPr>
        <w:t xml:space="preserve">for the social integration of Greek Roma had been adopted </w:t>
      </w:r>
      <w:r w:rsidR="00115FC9">
        <w:rPr>
          <w:lang w:val="en-US"/>
        </w:rPr>
        <w:t>in 2002</w:t>
      </w:r>
      <w:r w:rsidR="00FB3853">
        <w:rPr>
          <w:lang w:val="en-US"/>
        </w:rPr>
        <w:t>,</w:t>
      </w:r>
      <w:r w:rsidR="00115FC9">
        <w:rPr>
          <w:lang w:val="en-US"/>
        </w:rPr>
        <w:t xml:space="preserve"> </w:t>
      </w:r>
      <w:r w:rsidR="00115FC9" w:rsidRPr="00ED5D46">
        <w:rPr>
          <w:lang w:val="en-US"/>
        </w:rPr>
        <w:t xml:space="preserve">aiming at </w:t>
      </w:r>
      <w:r w:rsidR="00FB3853">
        <w:rPr>
          <w:lang w:val="en-US"/>
        </w:rPr>
        <w:t>combating</w:t>
      </w:r>
      <w:r w:rsidR="00115FC9" w:rsidRPr="00ED5D46">
        <w:rPr>
          <w:lang w:val="en-US"/>
        </w:rPr>
        <w:t xml:space="preserve"> social exclusion and discrimination. The Program had been adopted, in particular, as an action plan for the implementation of comprehensive, national planning for Greek Roma. When adopted, the national plan </w:t>
      </w:r>
      <w:r w:rsidR="00115FC9" w:rsidRPr="00ED5D46">
        <w:rPr>
          <w:lang w:val="en-US"/>
        </w:rPr>
        <w:lastRenderedPageBreak/>
        <w:t xml:space="preserve">incorporated the conclusions of the social dialogue held in the ’90s </w:t>
      </w:r>
      <w:r w:rsidR="00FB3853">
        <w:rPr>
          <w:lang w:val="en-US"/>
        </w:rPr>
        <w:t>on</w:t>
      </w:r>
      <w:r w:rsidR="00115FC9" w:rsidRPr="00ED5D46">
        <w:rPr>
          <w:lang w:val="en-US"/>
        </w:rPr>
        <w:t xml:space="preserve"> the problems faced by Roma. </w:t>
      </w:r>
    </w:p>
    <w:p w:rsidR="00115FC9" w:rsidRDefault="00E45D1E" w:rsidP="00115FC9">
      <w:pPr>
        <w:spacing w:before="120" w:after="120"/>
        <w:ind w:right="26"/>
        <w:jc w:val="both"/>
        <w:rPr>
          <w:lang w:val="en-US"/>
        </w:rPr>
      </w:pPr>
      <w:r>
        <w:rPr>
          <w:lang w:val="en-US"/>
        </w:rPr>
        <w:t>204.</w:t>
      </w:r>
      <w:r>
        <w:rPr>
          <w:lang w:val="en-US"/>
        </w:rPr>
        <w:tab/>
      </w:r>
      <w:r w:rsidR="00115FC9">
        <w:rPr>
          <w:lang w:val="en-US"/>
        </w:rPr>
        <w:t xml:space="preserve">In fact, the IAP provided the Local Authorities with a common set of goals and framework of actions for the improvement of Roma living conditions upon cooperation of Central and Local Government, in the main areas of housing, </w:t>
      </w:r>
      <w:r w:rsidR="00FB3853">
        <w:rPr>
          <w:lang w:val="en-US"/>
        </w:rPr>
        <w:t>employment</w:t>
      </w:r>
      <w:r w:rsidR="00115FC9">
        <w:rPr>
          <w:lang w:val="en-US"/>
        </w:rPr>
        <w:t xml:space="preserve">, education, health and culture-sports. </w:t>
      </w:r>
      <w:r w:rsidR="00115FC9" w:rsidRPr="00ED5D46">
        <w:rPr>
          <w:lang w:val="en-US"/>
        </w:rPr>
        <w:t>In this co</w:t>
      </w:r>
      <w:r w:rsidR="00115FC9">
        <w:rPr>
          <w:lang w:val="en-US"/>
        </w:rPr>
        <w:t>ntext, the Ministry of Interior</w:t>
      </w:r>
      <w:r w:rsidR="00115FC9" w:rsidRPr="00ED5D46">
        <w:rPr>
          <w:lang w:val="en-US"/>
        </w:rPr>
        <w:t xml:space="preserve"> undertook the implementation of the infrastructure axis interventions, with </w:t>
      </w:r>
      <w:r w:rsidR="00115FC9">
        <w:rPr>
          <w:lang w:val="en-US"/>
        </w:rPr>
        <w:t>a view to improving</w:t>
      </w:r>
      <w:r w:rsidR="00115FC9" w:rsidRPr="00ED5D46">
        <w:rPr>
          <w:lang w:val="en-US"/>
        </w:rPr>
        <w:t xml:space="preserve"> Greek Roma’ living conditions through, in particular, financing </w:t>
      </w:r>
      <w:r w:rsidR="00115FC9">
        <w:rPr>
          <w:lang w:val="en-US"/>
        </w:rPr>
        <w:t>basic</w:t>
      </w:r>
      <w:r w:rsidR="00115FC9" w:rsidRPr="00ED5D46">
        <w:rPr>
          <w:lang w:val="en-US"/>
        </w:rPr>
        <w:t xml:space="preserve"> infrastructure projects but also, in cooperation with the interventions provided within the services’ axis, in the field of education, health, employment and culture - sports. The programming period of the Integrated Action Plan covered a six year time framework (2002-2008), during which basic infrastructure projects (road construction, electricity &amp; lighting, sewerage, water supply, improvement of settlements, infrastructure works for prefabricated houses, relocation of settlements and purchase of tracts of land) </w:t>
      </w:r>
      <w:r w:rsidR="00115FC9">
        <w:rPr>
          <w:lang w:val="en-US"/>
        </w:rPr>
        <w:t xml:space="preserve">were </w:t>
      </w:r>
      <w:r w:rsidR="00115FC9" w:rsidRPr="00ED5D46">
        <w:rPr>
          <w:lang w:val="en-US"/>
        </w:rPr>
        <w:t>planned</w:t>
      </w:r>
      <w:r w:rsidR="00115FC9">
        <w:rPr>
          <w:lang w:val="en-US"/>
        </w:rPr>
        <w:t>, upon proposal of the Local Authorities,</w:t>
      </w:r>
      <w:r w:rsidR="00115FC9" w:rsidRPr="00ED5D46">
        <w:rPr>
          <w:lang w:val="en-US"/>
        </w:rPr>
        <w:t xml:space="preserve"> for 96 municipalities w</w:t>
      </w:r>
      <w:r w:rsidR="00115FC9">
        <w:rPr>
          <w:lang w:val="en-US"/>
        </w:rPr>
        <w:t>ith</w:t>
      </w:r>
      <w:r w:rsidR="00115FC9" w:rsidRPr="00ED5D46">
        <w:rPr>
          <w:lang w:val="en-US"/>
        </w:rPr>
        <w:t xml:space="preserve"> Greek Roma living in substandard conditions. </w:t>
      </w:r>
      <w:r w:rsidR="00115FC9">
        <w:rPr>
          <w:lang w:val="en-GB"/>
        </w:rPr>
        <w:t xml:space="preserve">Since 2002, 94.9 million euro has been allocated from the state budget for basic infrastructures in several Roma settlements. Payments for infrastructure works processed so far amount </w:t>
      </w:r>
      <w:r w:rsidR="00FB3853">
        <w:rPr>
          <w:lang w:val="en-GB"/>
        </w:rPr>
        <w:t>to</w:t>
      </w:r>
      <w:r w:rsidR="00115FC9">
        <w:rPr>
          <w:lang w:val="en-GB"/>
        </w:rPr>
        <w:t xml:space="preserve"> 57.58 million euro.</w:t>
      </w:r>
      <w:r w:rsidR="00FB3853">
        <w:rPr>
          <w:lang w:val="en-GB"/>
        </w:rPr>
        <w:t xml:space="preserve"> </w:t>
      </w:r>
    </w:p>
    <w:p w:rsidR="00115FC9" w:rsidRPr="00ED5D46" w:rsidRDefault="00E45D1E" w:rsidP="00115FC9">
      <w:pPr>
        <w:spacing w:before="120" w:after="120"/>
        <w:ind w:right="26"/>
        <w:jc w:val="both"/>
        <w:rPr>
          <w:lang w:val="en-US"/>
        </w:rPr>
      </w:pPr>
      <w:r>
        <w:rPr>
          <w:lang w:val="en-US"/>
        </w:rPr>
        <w:t>205.</w:t>
      </w:r>
      <w:r>
        <w:rPr>
          <w:lang w:val="en-US"/>
        </w:rPr>
        <w:tab/>
      </w:r>
      <w:r w:rsidR="00115FC9" w:rsidRPr="00ED5D46">
        <w:rPr>
          <w:lang w:val="en-US"/>
        </w:rPr>
        <w:t>Additionally, the improvement of Roma’ living conditions has been supported by the IAP axis on the provision of services through, in particular, the establishment of 33 socio-medical centers, providing Roma with a number of services in the field of counseling and family planning, primary health care with special care for women and children, mediation while addressing public administration to settle all kinds of possible issues (including civil and municipal issues) and vocational guidance.</w:t>
      </w:r>
    </w:p>
    <w:p w:rsidR="00115FC9" w:rsidRDefault="00E45D1E" w:rsidP="00115FC9">
      <w:pPr>
        <w:spacing w:before="120" w:after="120"/>
        <w:ind w:right="26"/>
        <w:jc w:val="both"/>
        <w:rPr>
          <w:lang w:val="en-US"/>
        </w:rPr>
      </w:pPr>
      <w:r>
        <w:rPr>
          <w:lang w:val="en-US"/>
        </w:rPr>
        <w:t>206.</w:t>
      </w:r>
      <w:r>
        <w:rPr>
          <w:lang w:val="en-US"/>
        </w:rPr>
        <w:tab/>
      </w:r>
      <w:r w:rsidR="00115FC9" w:rsidRPr="00ED5D46">
        <w:rPr>
          <w:lang w:val="en-US"/>
        </w:rPr>
        <w:t>In parallel, non-eligible rehabilitation issues under the infrastructure scope of the IAP led in 2002 to the adoption of a mortgage program for Greek Roma. Upon favorable mortgage terms,</w:t>
      </w:r>
      <w:r w:rsidR="00115FC9">
        <w:rPr>
          <w:lang w:val="en-US"/>
        </w:rPr>
        <w:t xml:space="preserve"> and </w:t>
      </w:r>
      <w:r w:rsidR="00FB3853">
        <w:rPr>
          <w:lang w:val="en-US"/>
        </w:rPr>
        <w:t>guaranteed by the</w:t>
      </w:r>
      <w:r w:rsidR="00115FC9">
        <w:rPr>
          <w:lang w:val="en-US"/>
        </w:rPr>
        <w:t xml:space="preserve"> state budget,</w:t>
      </w:r>
      <w:r w:rsidR="00115FC9" w:rsidRPr="00ED5D46">
        <w:rPr>
          <w:lang w:val="en-US"/>
        </w:rPr>
        <w:t xml:space="preserve"> the program addressed in particular 9.000 Roma families. So far, a total of </w:t>
      </w:r>
      <w:r w:rsidR="00115FC9" w:rsidRPr="00AB2319">
        <w:rPr>
          <w:b/>
          <w:lang w:val="en-US"/>
        </w:rPr>
        <w:t>7.854</w:t>
      </w:r>
      <w:r w:rsidR="00115FC9" w:rsidRPr="00ED5D46">
        <w:rPr>
          <w:lang w:val="en-US"/>
        </w:rPr>
        <w:t xml:space="preserve"> loans have been approved (87,3%) to an equal number of Roma families. Respectively, the number of beneficiary families to have </w:t>
      </w:r>
      <w:r w:rsidR="00115FC9">
        <w:rPr>
          <w:lang w:val="en-US"/>
        </w:rPr>
        <w:t xml:space="preserve">initiated or </w:t>
      </w:r>
      <w:r w:rsidR="00115FC9" w:rsidRPr="00ED5D46">
        <w:rPr>
          <w:lang w:val="en-US"/>
        </w:rPr>
        <w:t>concluded</w:t>
      </w:r>
      <w:r w:rsidR="00115FC9">
        <w:rPr>
          <w:lang w:val="en-US"/>
        </w:rPr>
        <w:t xml:space="preserve"> the construction </w:t>
      </w:r>
      <w:r w:rsidR="00FB3853">
        <w:rPr>
          <w:lang w:val="en-US"/>
        </w:rPr>
        <w:t>phase</w:t>
      </w:r>
      <w:r w:rsidR="00115FC9">
        <w:rPr>
          <w:lang w:val="en-US"/>
        </w:rPr>
        <w:t xml:space="preserve"> (through</w:t>
      </w:r>
      <w:r w:rsidR="00115FC9" w:rsidRPr="00ED5D46">
        <w:rPr>
          <w:lang w:val="en-US"/>
        </w:rPr>
        <w:t xml:space="preserve"> housing loan contracts</w:t>
      </w:r>
      <w:r w:rsidR="00115FC9">
        <w:rPr>
          <w:lang w:val="en-US"/>
        </w:rPr>
        <w:t>)</w:t>
      </w:r>
      <w:r w:rsidR="00115FC9" w:rsidRPr="00ED5D46">
        <w:rPr>
          <w:lang w:val="en-US"/>
        </w:rPr>
        <w:t xml:space="preserve"> amounts nowadays to </w:t>
      </w:r>
      <w:r w:rsidR="00115FC9" w:rsidRPr="00AB2319">
        <w:rPr>
          <w:b/>
          <w:lang w:val="en-US"/>
        </w:rPr>
        <w:t>6.5</w:t>
      </w:r>
      <w:r w:rsidR="00115FC9">
        <w:rPr>
          <w:b/>
          <w:lang w:val="en-US"/>
        </w:rPr>
        <w:t>70</w:t>
      </w:r>
      <w:r w:rsidR="00115FC9" w:rsidRPr="00ED5D46">
        <w:rPr>
          <w:lang w:val="en-US"/>
        </w:rPr>
        <w:t xml:space="preserve"> families (83,</w:t>
      </w:r>
      <w:r w:rsidR="00115FC9">
        <w:rPr>
          <w:lang w:val="en-US"/>
        </w:rPr>
        <w:t>7</w:t>
      </w:r>
      <w:r w:rsidR="00115FC9" w:rsidRPr="00ED5D46">
        <w:rPr>
          <w:lang w:val="en-US"/>
        </w:rPr>
        <w:t xml:space="preserve">%). </w:t>
      </w:r>
    </w:p>
    <w:p w:rsidR="00115FC9" w:rsidRPr="00E7059C" w:rsidRDefault="00E45D1E" w:rsidP="00115FC9">
      <w:pPr>
        <w:spacing w:before="120" w:after="120"/>
        <w:ind w:right="26"/>
        <w:jc w:val="both"/>
        <w:rPr>
          <w:lang w:val="en-GB"/>
        </w:rPr>
      </w:pPr>
      <w:r>
        <w:rPr>
          <w:lang w:val="en-US"/>
        </w:rPr>
        <w:t>207.</w:t>
      </w:r>
      <w:r>
        <w:rPr>
          <w:lang w:val="en-US"/>
        </w:rPr>
        <w:tab/>
      </w:r>
      <w:r w:rsidR="00115FC9" w:rsidRPr="00ED5D46">
        <w:rPr>
          <w:lang w:val="en-US"/>
        </w:rPr>
        <w:t xml:space="preserve">Following </w:t>
      </w:r>
      <w:r w:rsidR="00115FC9">
        <w:rPr>
          <w:lang w:val="en-US"/>
        </w:rPr>
        <w:t xml:space="preserve">a major </w:t>
      </w:r>
      <w:r w:rsidR="00115FC9" w:rsidRPr="00ED5D46">
        <w:rPr>
          <w:lang w:val="en-US"/>
        </w:rPr>
        <w:t>legislative reform</w:t>
      </w:r>
      <w:r w:rsidR="00115FC9">
        <w:rPr>
          <w:rStyle w:val="FootnoteReference"/>
          <w:lang w:val="en-US"/>
        </w:rPr>
        <w:footnoteReference w:id="3"/>
      </w:r>
      <w:r w:rsidR="00115FC9" w:rsidRPr="00ED5D46">
        <w:rPr>
          <w:lang w:val="en-US"/>
        </w:rPr>
        <w:t xml:space="preserve"> of the program</w:t>
      </w:r>
      <w:r w:rsidR="00115FC9">
        <w:rPr>
          <w:lang w:val="en-US"/>
        </w:rPr>
        <w:t xml:space="preserve"> in 2006</w:t>
      </w:r>
      <w:r w:rsidR="00115FC9" w:rsidRPr="00ED5D46">
        <w:rPr>
          <w:lang w:val="en-US"/>
        </w:rPr>
        <w:t xml:space="preserve"> </w:t>
      </w:r>
      <w:r w:rsidR="00115FC9">
        <w:rPr>
          <w:lang w:val="en-US"/>
        </w:rPr>
        <w:t xml:space="preserve">the </w:t>
      </w:r>
      <w:r w:rsidR="00115FC9" w:rsidRPr="00ED5D46">
        <w:rPr>
          <w:lang w:val="en-US"/>
        </w:rPr>
        <w:t>allocation of housing loans has</w:t>
      </w:r>
      <w:r w:rsidR="00115FC9">
        <w:rPr>
          <w:lang w:val="en-US"/>
        </w:rPr>
        <w:t xml:space="preserve"> since</w:t>
      </w:r>
      <w:r w:rsidR="00115FC9" w:rsidRPr="00ED5D46">
        <w:rPr>
          <w:lang w:val="en-US"/>
        </w:rPr>
        <w:t xml:space="preserve"> been based on </w:t>
      </w:r>
      <w:r w:rsidR="00115FC9" w:rsidRPr="00FB3853">
        <w:rPr>
          <w:lang w:val="en-US"/>
        </w:rPr>
        <w:t>social assessment criteria taking into consideration Roma families’ particular living conditions</w:t>
      </w:r>
      <w:r w:rsidR="00115FC9" w:rsidRPr="00ED5D46">
        <w:rPr>
          <w:lang w:val="en-US"/>
        </w:rPr>
        <w:t xml:space="preserve">. </w:t>
      </w:r>
      <w:r w:rsidR="00115FC9">
        <w:rPr>
          <w:lang w:val="en-US"/>
        </w:rPr>
        <w:t>Ever</w:t>
      </w:r>
      <w:r w:rsidR="00115FC9" w:rsidRPr="00ED5D46">
        <w:rPr>
          <w:lang w:val="en-US"/>
        </w:rPr>
        <w:t xml:space="preserve"> since</w:t>
      </w:r>
      <w:r w:rsidR="00115FC9">
        <w:rPr>
          <w:lang w:val="en-US"/>
        </w:rPr>
        <w:t xml:space="preserve">, </w:t>
      </w:r>
      <w:r w:rsidR="00115FC9" w:rsidRPr="00ED5D46">
        <w:rPr>
          <w:lang w:val="en-US"/>
        </w:rPr>
        <w:t xml:space="preserve">the program provides for </w:t>
      </w:r>
      <w:r w:rsidR="00115FC9" w:rsidRPr="00FB3853">
        <w:rPr>
          <w:lang w:val="en-US"/>
        </w:rPr>
        <w:t>priority housing by means of mortgage for those who, being further burdened by conditions of social adversity, experience intense social exclusion</w:t>
      </w:r>
      <w:r w:rsidR="00115FC9" w:rsidRPr="00ED5D46">
        <w:rPr>
          <w:lang w:val="en-US"/>
        </w:rPr>
        <w:t xml:space="preserve">. In effect, the </w:t>
      </w:r>
      <w:r w:rsidR="00115FC9">
        <w:rPr>
          <w:lang w:val="en-US"/>
        </w:rPr>
        <w:t xml:space="preserve">new </w:t>
      </w:r>
      <w:r w:rsidR="00115FC9" w:rsidRPr="00ED5D46">
        <w:rPr>
          <w:lang w:val="en-US"/>
        </w:rPr>
        <w:t>procedure provide</w:t>
      </w:r>
      <w:r w:rsidR="00115FC9">
        <w:rPr>
          <w:lang w:val="en-US"/>
        </w:rPr>
        <w:t>d</w:t>
      </w:r>
      <w:r w:rsidR="00115FC9" w:rsidRPr="00ED5D46">
        <w:rPr>
          <w:lang w:val="en-US"/>
        </w:rPr>
        <w:t xml:space="preserve"> for the application of social assessment criteria giving priority to the number of dependents in candidate families (minor children, adult students, dependents- ascending first degree relatives), possible existence of disabilities, single parent families, single parent widowed families and low income. On the same time, taking into account the practical difficulties for effective access of Roma to public authorities and eventually, to the services provided by them, the institutional framework in force </w:t>
      </w:r>
      <w:r w:rsidR="00115FC9" w:rsidRPr="00FB3853">
        <w:rPr>
          <w:lang w:val="en-US"/>
        </w:rPr>
        <w:t xml:space="preserve">eliminated the requirements on candidates’ permanent residence and set the conditions for participatory procedures during the assessment procedure (assessment committees at the local level with the participation </w:t>
      </w:r>
      <w:r w:rsidR="00115FC9" w:rsidRPr="00FB3853">
        <w:rPr>
          <w:lang w:val="en-US"/>
        </w:rPr>
        <w:lastRenderedPageBreak/>
        <w:t>of Roma representatives)</w:t>
      </w:r>
      <w:r w:rsidR="00115FC9" w:rsidRPr="00ED5D46">
        <w:rPr>
          <w:lang w:val="en-US"/>
        </w:rPr>
        <w:t>.</w:t>
      </w:r>
      <w:r w:rsidR="00115FC9" w:rsidRPr="00F7507F">
        <w:rPr>
          <w:lang w:val="en-GB"/>
        </w:rPr>
        <w:t xml:space="preserve"> </w:t>
      </w:r>
      <w:r w:rsidR="00115FC9" w:rsidRPr="00E7059C">
        <w:rPr>
          <w:lang w:val="en-GB"/>
        </w:rPr>
        <w:t xml:space="preserve">The program was further </w:t>
      </w:r>
      <w:r w:rsidR="00115FC9" w:rsidRPr="00082C23">
        <w:rPr>
          <w:b/>
          <w:lang w:val="en-GB"/>
        </w:rPr>
        <w:t xml:space="preserve">amended in </w:t>
      </w:r>
      <w:smartTag w:uri="urn:schemas-microsoft-com:office:smarttags" w:element="metricconverter">
        <w:smartTagPr>
          <w:attr w:name="ProductID" w:val="2011 in"/>
        </w:smartTagPr>
        <w:r w:rsidR="00115FC9" w:rsidRPr="00082C23">
          <w:rPr>
            <w:b/>
            <w:lang w:val="en-GB"/>
          </w:rPr>
          <w:t>2011</w:t>
        </w:r>
        <w:r w:rsidR="00115FC9" w:rsidRPr="00E7059C">
          <w:rPr>
            <w:lang w:val="en-GB"/>
          </w:rPr>
          <w:t xml:space="preserve"> in</w:t>
        </w:r>
      </w:smartTag>
      <w:r w:rsidR="00115FC9" w:rsidRPr="00E7059C">
        <w:rPr>
          <w:lang w:val="en-GB"/>
        </w:rPr>
        <w:t xml:space="preserve"> order to  </w:t>
      </w:r>
      <w:r w:rsidR="00115FC9">
        <w:rPr>
          <w:lang w:val="en-GB"/>
        </w:rPr>
        <w:t xml:space="preserve">better adjust to the current socio-economic conditions by providing </w:t>
      </w:r>
      <w:r w:rsidR="00115FC9" w:rsidRPr="00E7059C">
        <w:rPr>
          <w:lang w:val="en-GB"/>
        </w:rPr>
        <w:t xml:space="preserve">Roma beneficiaries - inter alia - with </w:t>
      </w:r>
      <w:r w:rsidR="00115FC9" w:rsidRPr="00FF1654">
        <w:rPr>
          <w:b/>
          <w:lang w:val="en-GB"/>
        </w:rPr>
        <w:t>financial incentives</w:t>
      </w:r>
      <w:r w:rsidR="00115FC9" w:rsidRPr="00E7059C">
        <w:rPr>
          <w:lang w:val="en-GB"/>
        </w:rPr>
        <w:t xml:space="preserve"> </w:t>
      </w:r>
      <w:r w:rsidR="00115FC9">
        <w:rPr>
          <w:lang w:val="en-GB"/>
        </w:rPr>
        <w:t>in relation to the repay of the loan and the state grants</w:t>
      </w:r>
      <w:r w:rsidR="00115FC9">
        <w:rPr>
          <w:b/>
          <w:u w:val="single"/>
          <w:lang w:val="en-GB"/>
        </w:rPr>
        <w:t>; a more flexible timeframe in relation to the construction of the houses and the disbursal of the loan; and an extended timeframe for signing a loan contract with a bank</w:t>
      </w:r>
      <w:r w:rsidR="00115FC9" w:rsidRPr="00E7059C">
        <w:rPr>
          <w:lang w:val="en-GB"/>
        </w:rPr>
        <w:t xml:space="preserve">. </w:t>
      </w:r>
      <w:r w:rsidR="00115FC9">
        <w:rPr>
          <w:lang w:val="en-GB"/>
        </w:rPr>
        <w:t xml:space="preserve">Additional amendments introduced envisage, overall, the safeguard of the program’s social character and scope, as well as </w:t>
      </w:r>
      <w:r w:rsidR="00115FC9">
        <w:rPr>
          <w:b/>
          <w:u w:val="single"/>
          <w:lang w:val="en-GB"/>
        </w:rPr>
        <w:t>the</w:t>
      </w:r>
      <w:r w:rsidR="00115FC9" w:rsidRPr="00392E81">
        <w:rPr>
          <w:b/>
          <w:u w:val="single"/>
          <w:lang w:val="en-GB"/>
        </w:rPr>
        <w:t xml:space="preserve"> facilitati</w:t>
      </w:r>
      <w:r w:rsidR="00115FC9">
        <w:rPr>
          <w:b/>
          <w:u w:val="single"/>
          <w:lang w:val="en-GB"/>
        </w:rPr>
        <w:t>o</w:t>
      </w:r>
      <w:r w:rsidR="00115FC9" w:rsidRPr="00392E81">
        <w:rPr>
          <w:b/>
          <w:u w:val="single"/>
          <w:lang w:val="en-GB"/>
        </w:rPr>
        <w:t xml:space="preserve">n </w:t>
      </w:r>
      <w:r w:rsidR="00115FC9">
        <w:rPr>
          <w:b/>
          <w:u w:val="single"/>
          <w:lang w:val="en-GB"/>
        </w:rPr>
        <w:t xml:space="preserve">of beneficiaries’ </w:t>
      </w:r>
      <w:r w:rsidR="00115FC9" w:rsidRPr="00392E81">
        <w:rPr>
          <w:b/>
          <w:u w:val="single"/>
          <w:lang w:val="en-GB"/>
        </w:rPr>
        <w:t>ability to respond to the obligations undertaken through or during the mortgage</w:t>
      </w:r>
      <w:r w:rsidR="00115FC9">
        <w:rPr>
          <w:b/>
          <w:u w:val="single"/>
          <w:lang w:val="en-GB"/>
        </w:rPr>
        <w:t xml:space="preserve">, </w:t>
      </w:r>
      <w:r w:rsidR="00115FC9">
        <w:rPr>
          <w:lang w:val="en-GB"/>
        </w:rPr>
        <w:t>in line with recommendations made by the Ombudsman and inquiries placed by the Roma too.</w:t>
      </w:r>
    </w:p>
    <w:p w:rsidR="00115FC9" w:rsidRPr="000260F1" w:rsidRDefault="00E45D1E" w:rsidP="00C46424">
      <w:pPr>
        <w:jc w:val="both"/>
        <w:rPr>
          <w:lang w:val="en-GB"/>
        </w:rPr>
      </w:pPr>
      <w:r>
        <w:rPr>
          <w:lang w:val="en-GB"/>
        </w:rPr>
        <w:t>208.</w:t>
      </w:r>
      <w:r>
        <w:rPr>
          <w:lang w:val="en-GB"/>
        </w:rPr>
        <w:tab/>
      </w:r>
      <w:r w:rsidR="00115FC9" w:rsidRPr="00E7059C">
        <w:rPr>
          <w:lang w:val="en-GB"/>
        </w:rPr>
        <w:t xml:space="preserve">However, remaining problems in (remote settlements or in) settlements not meeting </w:t>
      </w:r>
      <w:r w:rsidR="00C46424">
        <w:rPr>
          <w:lang w:val="en-GB"/>
        </w:rPr>
        <w:t>adequate</w:t>
      </w:r>
      <w:r w:rsidR="00115FC9" w:rsidRPr="00E7059C">
        <w:rPr>
          <w:lang w:val="en-GB"/>
        </w:rPr>
        <w:t xml:space="preserve"> standards need to be further addressed </w:t>
      </w:r>
      <w:r w:rsidR="00115FC9">
        <w:rPr>
          <w:lang w:val="en-GB"/>
        </w:rPr>
        <w:t xml:space="preserve">as recommended by the </w:t>
      </w:r>
      <w:r w:rsidR="00FB3853">
        <w:rPr>
          <w:lang w:val="en-GB"/>
        </w:rPr>
        <w:t xml:space="preserve">National Commission </w:t>
      </w:r>
      <w:r w:rsidR="00C46424">
        <w:rPr>
          <w:lang w:val="en-GB"/>
        </w:rPr>
        <w:t>for Human Rights</w:t>
      </w:r>
      <w:r w:rsidR="00115FC9">
        <w:rPr>
          <w:lang w:val="en-GB"/>
        </w:rPr>
        <w:t xml:space="preserve"> and the Ombudsman </w:t>
      </w:r>
      <w:r w:rsidR="00115FC9" w:rsidRPr="00E7059C">
        <w:rPr>
          <w:lang w:val="en-GB"/>
        </w:rPr>
        <w:t>on the basis of available funds and prioritisation of Roma living standards and needs.</w:t>
      </w:r>
    </w:p>
    <w:p w:rsidR="00C46424" w:rsidRDefault="00E45D1E" w:rsidP="00115FC9">
      <w:pPr>
        <w:spacing w:before="120" w:after="120"/>
        <w:ind w:right="26"/>
        <w:jc w:val="both"/>
        <w:rPr>
          <w:lang w:val="en-US"/>
        </w:rPr>
      </w:pPr>
      <w:r>
        <w:rPr>
          <w:lang w:val="en-US"/>
        </w:rPr>
        <w:t>209.</w:t>
      </w:r>
      <w:r>
        <w:rPr>
          <w:lang w:val="en-US"/>
        </w:rPr>
        <w:tab/>
      </w:r>
      <w:r w:rsidR="00115FC9">
        <w:rPr>
          <w:lang w:val="en-US"/>
        </w:rPr>
        <w:t xml:space="preserve">Taking into consideration the need to promote </w:t>
      </w:r>
      <w:r w:rsidR="00115FC9">
        <w:rPr>
          <w:b/>
          <w:u w:val="single"/>
          <w:lang w:val="en-US"/>
        </w:rPr>
        <w:t>gender equality</w:t>
      </w:r>
      <w:r w:rsidR="00115FC9">
        <w:rPr>
          <w:lang w:val="en-US"/>
        </w:rPr>
        <w:t xml:space="preserve">, mainly to strengthen Roma women’s participation in pubic-social life (through, in particular housing priority credits awarded to single-parent families since mid 2006), the following data have been revealed upon completion of the first implementation phase of the program (2002-2005): 39% of the applications received were submitted by women. On the same time, </w:t>
      </w:r>
      <w:r w:rsidR="00115FC9">
        <w:rPr>
          <w:b/>
          <w:lang w:val="en-US"/>
        </w:rPr>
        <w:t>among successful beneficiaries</w:t>
      </w:r>
      <w:r w:rsidR="00115FC9">
        <w:rPr>
          <w:lang w:val="en-US"/>
        </w:rPr>
        <w:t xml:space="preserve"> in 2005, Roma </w:t>
      </w:r>
      <w:r w:rsidR="00115FC9">
        <w:rPr>
          <w:b/>
          <w:lang w:val="en-US"/>
        </w:rPr>
        <w:t>women</w:t>
      </w:r>
      <w:r w:rsidR="00C46424">
        <w:rPr>
          <w:lang w:val="en-US"/>
        </w:rPr>
        <w:t xml:space="preserve"> formed</w:t>
      </w:r>
      <w:r w:rsidR="00115FC9">
        <w:rPr>
          <w:lang w:val="en-US"/>
        </w:rPr>
        <w:t xml:space="preserve"> </w:t>
      </w:r>
      <w:r w:rsidR="00115FC9">
        <w:rPr>
          <w:b/>
          <w:lang w:val="en-US"/>
        </w:rPr>
        <w:t>37% of the beneficiaries’ share</w:t>
      </w:r>
      <w:r w:rsidR="00115FC9">
        <w:rPr>
          <w:lang w:val="en-US"/>
        </w:rPr>
        <w:t xml:space="preserve">. Likewise, following the legislative reform in </w:t>
      </w:r>
      <w:smartTag w:uri="urn:schemas-microsoft-com:office:smarttags" w:element="metricconverter">
        <w:smartTagPr>
          <w:attr w:name="ProductID" w:val="2006, in"/>
        </w:smartTagPr>
        <w:r w:rsidR="00115FC9">
          <w:rPr>
            <w:lang w:val="en-US"/>
          </w:rPr>
          <w:t>2006, in</w:t>
        </w:r>
      </w:smartTag>
      <w:r w:rsidR="00115FC9">
        <w:rPr>
          <w:lang w:val="en-US"/>
        </w:rPr>
        <w:t xml:space="preserve"> terms of priority given to Roma women, their share (successful beneficiaries) </w:t>
      </w:r>
      <w:r w:rsidR="00115FC9">
        <w:rPr>
          <w:b/>
          <w:lang w:val="en-US"/>
        </w:rPr>
        <w:t>has increased in 2009 to 56%</w:t>
      </w:r>
      <w:r w:rsidR="00115FC9">
        <w:rPr>
          <w:lang w:val="en-US"/>
        </w:rPr>
        <w:t xml:space="preserve">, whereas men’s share has decreased to 38% from 63% in </w:t>
      </w:r>
      <w:smartTag w:uri="urn:schemas-microsoft-com:office:smarttags" w:element="metricconverter">
        <w:smartTagPr>
          <w:attr w:name="ProductID" w:val="2005. A"/>
        </w:smartTagPr>
        <w:r w:rsidR="00115FC9">
          <w:rPr>
            <w:lang w:val="en-US"/>
          </w:rPr>
          <w:t xml:space="preserve">2005. </w:t>
        </w:r>
        <w:r w:rsidR="00115FC9">
          <w:rPr>
            <w:b/>
            <w:lang w:val="en-US"/>
          </w:rPr>
          <w:t>A</w:t>
        </w:r>
      </w:smartTag>
      <w:r w:rsidR="00115FC9">
        <w:rPr>
          <w:b/>
          <w:lang w:val="en-US"/>
        </w:rPr>
        <w:t xml:space="preserve"> comparative review of the quantitative results of the program during the two implementation phases reveals that women’s share has increased to 42% whereas male beneficiaries have decreased to 57%</w:t>
      </w:r>
      <w:r w:rsidR="00115FC9">
        <w:rPr>
          <w:lang w:val="en-US"/>
        </w:rPr>
        <w:t xml:space="preserve">. </w:t>
      </w:r>
      <w:r w:rsidR="007774C8">
        <w:rPr>
          <w:lang w:val="en-US"/>
        </w:rPr>
        <w:t>Detailed figures are presented in Annex 3a, charts 2; 2a; 2b; 2b.1</w:t>
      </w:r>
    </w:p>
    <w:p w:rsidR="00115FC9" w:rsidRDefault="00E45D1E" w:rsidP="00115FC9">
      <w:pPr>
        <w:spacing w:before="120" w:after="120"/>
        <w:ind w:right="26"/>
        <w:jc w:val="both"/>
        <w:rPr>
          <w:lang w:val="en-US"/>
        </w:rPr>
      </w:pPr>
      <w:r>
        <w:rPr>
          <w:lang w:val="en-US"/>
        </w:rPr>
        <w:t>210.</w:t>
      </w:r>
      <w:r>
        <w:rPr>
          <w:lang w:val="en-US"/>
        </w:rPr>
        <w:tab/>
      </w:r>
      <w:r w:rsidR="00115FC9" w:rsidRPr="00ED5D46">
        <w:rPr>
          <w:lang w:val="en-US"/>
        </w:rPr>
        <w:t xml:space="preserve">On this occasion, although outside the scope of this particular program, </w:t>
      </w:r>
      <w:r w:rsidR="00115FC9">
        <w:rPr>
          <w:lang w:val="en-US"/>
        </w:rPr>
        <w:t xml:space="preserve">it is worth mentioned </w:t>
      </w:r>
      <w:r w:rsidR="00115FC9" w:rsidRPr="00ED5D46">
        <w:rPr>
          <w:lang w:val="en-US"/>
        </w:rPr>
        <w:t xml:space="preserve">that with a view to support the need for the </w:t>
      </w:r>
      <w:r w:rsidR="00115FC9" w:rsidRPr="0051775A">
        <w:rPr>
          <w:b/>
          <w:lang w:val="en-US"/>
        </w:rPr>
        <w:t>emancipation and empowerment of a particular sub-group within the greater target-group, that of Roma women</w:t>
      </w:r>
      <w:r w:rsidR="00115FC9" w:rsidRPr="00ED5D46">
        <w:rPr>
          <w:lang w:val="en-US"/>
        </w:rPr>
        <w:t>, both within the Greek society and in Europe, the M</w:t>
      </w:r>
      <w:r w:rsidR="00115FC9">
        <w:rPr>
          <w:lang w:val="en-US"/>
        </w:rPr>
        <w:t>inistry of Interior</w:t>
      </w:r>
      <w:r w:rsidR="00115FC9" w:rsidRPr="00ED5D46">
        <w:rPr>
          <w:lang w:val="en-US"/>
        </w:rPr>
        <w:t xml:space="preserve"> co-organised with the Council of Europe and the Rom Inter-municipal Network (Pan-Hellenic Network for the support of Greek Roma), the 2nd International Conference of Roma Women entitled “I am a European Roma Woman” which took place in Athens (11-12/01/2010). </w:t>
      </w:r>
    </w:p>
    <w:p w:rsidR="00115FC9" w:rsidRPr="00ED5D46" w:rsidRDefault="00E45D1E" w:rsidP="00115FC9">
      <w:pPr>
        <w:spacing w:before="120" w:after="120"/>
        <w:ind w:right="26"/>
        <w:jc w:val="both"/>
        <w:rPr>
          <w:lang w:val="en-US"/>
        </w:rPr>
      </w:pPr>
      <w:r>
        <w:rPr>
          <w:lang w:val="en-US"/>
        </w:rPr>
        <w:t>211.</w:t>
      </w:r>
      <w:r>
        <w:rPr>
          <w:lang w:val="en-US"/>
        </w:rPr>
        <w:tab/>
      </w:r>
      <w:r w:rsidR="00115FC9" w:rsidRPr="00ED5D46">
        <w:rPr>
          <w:lang w:val="en-US"/>
        </w:rPr>
        <w:t xml:space="preserve">Respectively, focusing on the </w:t>
      </w:r>
      <w:r w:rsidR="00115FC9">
        <w:rPr>
          <w:lang w:val="en-US"/>
        </w:rPr>
        <w:t xml:space="preserve">need to </w:t>
      </w:r>
      <w:r w:rsidR="00115FC9" w:rsidRPr="00C86769">
        <w:rPr>
          <w:b/>
          <w:u w:val="single"/>
          <w:lang w:val="en-US"/>
        </w:rPr>
        <w:t>protect the rights of the child</w:t>
      </w:r>
      <w:r w:rsidR="00115FC9">
        <w:rPr>
          <w:u w:val="single"/>
          <w:lang w:val="en-US"/>
        </w:rPr>
        <w:t xml:space="preserve"> </w:t>
      </w:r>
      <w:r w:rsidR="00115FC9">
        <w:rPr>
          <w:lang w:val="en-US"/>
        </w:rPr>
        <w:t>and</w:t>
      </w:r>
      <w:r w:rsidR="00C46424">
        <w:rPr>
          <w:lang w:val="en-US"/>
        </w:rPr>
        <w:t xml:space="preserve"> </w:t>
      </w:r>
      <w:r w:rsidR="00115FC9" w:rsidRPr="00ED5D46">
        <w:rPr>
          <w:lang w:val="en-US"/>
        </w:rPr>
        <w:t xml:space="preserve">on the basis of the supporting documents submitted in the context of the revised application procedure, it is witnessed that out of a total of 2.105 beneficiary families during the period 2006-2009 (implementation phase b) a total of </w:t>
      </w:r>
      <w:r w:rsidR="00115FC9" w:rsidRPr="00846823">
        <w:rPr>
          <w:u w:val="single"/>
          <w:lang w:val="en-US"/>
        </w:rPr>
        <w:t>91% of the beneficiaries</w:t>
      </w:r>
      <w:r w:rsidR="00115FC9" w:rsidRPr="00ED5D46">
        <w:rPr>
          <w:lang w:val="en-US"/>
        </w:rPr>
        <w:t xml:space="preserve"> (1.921 families) </w:t>
      </w:r>
      <w:r w:rsidR="00115FC9" w:rsidRPr="00846823">
        <w:rPr>
          <w:u w:val="single"/>
          <w:lang w:val="en-US"/>
        </w:rPr>
        <w:t>responded to the criterion “family with children” comprising in total 6.726 children</w:t>
      </w:r>
      <w:r w:rsidR="00115FC9" w:rsidRPr="00ED5D46">
        <w:rPr>
          <w:lang w:val="en-US"/>
        </w:rPr>
        <w:t>. The above figures during the revised procedure confirm effective priority to family and childhood protection.</w:t>
      </w:r>
    </w:p>
    <w:p w:rsidR="00115FC9" w:rsidRPr="00ED5D46" w:rsidRDefault="00E45D1E" w:rsidP="00115FC9">
      <w:pPr>
        <w:spacing w:before="120" w:after="120"/>
        <w:ind w:right="26"/>
        <w:jc w:val="both"/>
        <w:rPr>
          <w:lang w:val="en-US"/>
        </w:rPr>
      </w:pPr>
      <w:r>
        <w:rPr>
          <w:lang w:val="en-US"/>
        </w:rPr>
        <w:t>212.</w:t>
      </w:r>
      <w:r>
        <w:rPr>
          <w:lang w:val="en-US"/>
        </w:rPr>
        <w:tab/>
      </w:r>
      <w:r w:rsidR="00115FC9" w:rsidRPr="00ED5D46">
        <w:rPr>
          <w:lang w:val="en-US"/>
        </w:rPr>
        <w:t xml:space="preserve">In further detail, it is noted that during 2006-2009, </w:t>
      </w:r>
      <w:r w:rsidR="00115FC9" w:rsidRPr="00846823">
        <w:rPr>
          <w:u w:val="single"/>
          <w:lang w:val="en-US"/>
        </w:rPr>
        <w:t>59,29% of the beneficiaries</w:t>
      </w:r>
      <w:r w:rsidR="00115FC9" w:rsidRPr="00ED5D46">
        <w:rPr>
          <w:lang w:val="en-US"/>
        </w:rPr>
        <w:t xml:space="preserve"> correspond to </w:t>
      </w:r>
      <w:r w:rsidR="00115FC9" w:rsidRPr="00846823">
        <w:rPr>
          <w:u w:val="single"/>
          <w:lang w:val="en-US"/>
        </w:rPr>
        <w:t>families headed by a woman</w:t>
      </w:r>
      <w:r w:rsidR="00115FC9" w:rsidRPr="00ED5D46">
        <w:rPr>
          <w:lang w:val="en-US"/>
        </w:rPr>
        <w:t xml:space="preserve"> (</w:t>
      </w:r>
      <w:r w:rsidR="00115FC9" w:rsidRPr="00846823">
        <w:rPr>
          <w:u w:val="single"/>
          <w:lang w:val="en-US"/>
        </w:rPr>
        <w:t>compared with 37% in 2002-2005</w:t>
      </w:r>
      <w:r w:rsidR="00115FC9" w:rsidRPr="00ED5D46">
        <w:rPr>
          <w:lang w:val="en-US"/>
        </w:rPr>
        <w:t xml:space="preserve">) and respectively 40,7% of the beneficiaries correspond to families headed by a man (compared with 63% in 2002-2005). Further analysis of the beneficiary families indicates that </w:t>
      </w:r>
      <w:r w:rsidR="00115FC9" w:rsidRPr="00846823">
        <w:rPr>
          <w:u w:val="single"/>
          <w:lang w:val="en-US"/>
        </w:rPr>
        <w:t>47% of the beneficiary families are single-parent families</w:t>
      </w:r>
      <w:r w:rsidR="00115FC9" w:rsidRPr="00ED5D46">
        <w:rPr>
          <w:lang w:val="en-US"/>
        </w:rPr>
        <w:t xml:space="preserve"> (regardless of the reason) </w:t>
      </w:r>
      <w:r w:rsidR="00115FC9" w:rsidRPr="00846823">
        <w:rPr>
          <w:u w:val="single"/>
          <w:lang w:val="en-US"/>
        </w:rPr>
        <w:t>with a total of 42% of the children</w:t>
      </w:r>
      <w:r w:rsidR="00115FC9">
        <w:rPr>
          <w:lang w:val="en-US"/>
        </w:rPr>
        <w:t xml:space="preserve"> in beneficiary families</w:t>
      </w:r>
      <w:r w:rsidR="00115FC9" w:rsidRPr="00ED5D46">
        <w:rPr>
          <w:lang w:val="en-US"/>
        </w:rPr>
        <w:t xml:space="preserve">, the great </w:t>
      </w:r>
      <w:r w:rsidR="00115FC9" w:rsidRPr="00ED5D46">
        <w:rPr>
          <w:lang w:val="en-US"/>
        </w:rPr>
        <w:lastRenderedPageBreak/>
        <w:t>majority of whom (</w:t>
      </w:r>
      <w:r w:rsidR="00115FC9" w:rsidRPr="00846823">
        <w:rPr>
          <w:u w:val="single"/>
          <w:lang w:val="en-US"/>
        </w:rPr>
        <w:t>88,12%) are families headed by a woman</w:t>
      </w:r>
      <w:r w:rsidR="00115FC9" w:rsidRPr="00ED5D46">
        <w:rPr>
          <w:lang w:val="en-US"/>
        </w:rPr>
        <w:t xml:space="preserve"> (868 families out of a total of 985 single parent families with 2.848 children out of a total of 6.726)</w:t>
      </w:r>
      <w:r w:rsidR="00C46424">
        <w:rPr>
          <w:lang w:val="en-US"/>
        </w:rPr>
        <w:t xml:space="preserve">. </w:t>
      </w:r>
      <w:r w:rsidR="00115FC9" w:rsidRPr="00ED5D46">
        <w:rPr>
          <w:lang w:val="en-US"/>
        </w:rPr>
        <w:t>It should be clarified, however, that families who have concluded a “Roma” wedding are surveyed through the single-parent families’ sample.</w:t>
      </w:r>
    </w:p>
    <w:p w:rsidR="00115FC9" w:rsidRDefault="00E45D1E" w:rsidP="00115FC9">
      <w:pPr>
        <w:spacing w:before="120" w:after="120"/>
        <w:ind w:right="26"/>
        <w:jc w:val="both"/>
        <w:rPr>
          <w:lang w:val="en-US"/>
        </w:rPr>
      </w:pPr>
      <w:r>
        <w:rPr>
          <w:lang w:val="en-US"/>
        </w:rPr>
        <w:t>213.</w:t>
      </w:r>
      <w:r>
        <w:rPr>
          <w:lang w:val="en-US"/>
        </w:rPr>
        <w:tab/>
      </w:r>
      <w:r w:rsidR="00115FC9" w:rsidRPr="00ED5D46">
        <w:rPr>
          <w:lang w:val="en-US"/>
        </w:rPr>
        <w:t xml:space="preserve">In light of the figures presented above it is </w:t>
      </w:r>
      <w:r w:rsidR="00C46424">
        <w:rPr>
          <w:lang w:val="en-US"/>
        </w:rPr>
        <w:t xml:space="preserve">to be </w:t>
      </w:r>
      <w:r w:rsidR="00115FC9" w:rsidRPr="00ED5D46">
        <w:rPr>
          <w:lang w:val="en-US"/>
        </w:rPr>
        <w:t xml:space="preserve">concluded that in an attempt to adjust the program to the particular needs of the target-group, the </w:t>
      </w:r>
      <w:r w:rsidR="00115FC9" w:rsidRPr="00906763">
        <w:rPr>
          <w:u w:val="single"/>
          <w:lang w:val="en-US"/>
        </w:rPr>
        <w:t>eventual implementation of social assessment criteria strengthened significantly the sub-groups within the wider target-group of the Roma community, in particular women and children</w:t>
      </w:r>
      <w:r w:rsidR="00115FC9" w:rsidRPr="00ED5D46">
        <w:rPr>
          <w:lang w:val="en-US"/>
        </w:rPr>
        <w:t xml:space="preserve">.            </w:t>
      </w:r>
    </w:p>
    <w:p w:rsidR="00C46424" w:rsidRDefault="00E45D1E" w:rsidP="00115FC9">
      <w:pPr>
        <w:spacing w:before="120" w:after="120"/>
        <w:ind w:right="26"/>
        <w:jc w:val="both"/>
        <w:rPr>
          <w:lang w:val="en-US"/>
        </w:rPr>
      </w:pPr>
      <w:r>
        <w:rPr>
          <w:lang w:val="en-US"/>
        </w:rPr>
        <w:t>214.</w:t>
      </w:r>
      <w:r>
        <w:rPr>
          <w:lang w:val="en-US"/>
        </w:rPr>
        <w:tab/>
      </w:r>
      <w:r w:rsidR="00115FC9" w:rsidRPr="00ED5D46">
        <w:rPr>
          <w:lang w:val="en-US"/>
        </w:rPr>
        <w:t xml:space="preserve">Furthermore, </w:t>
      </w:r>
      <w:r w:rsidR="00115FC9">
        <w:rPr>
          <w:lang w:val="en-US"/>
        </w:rPr>
        <w:t xml:space="preserve">the </w:t>
      </w:r>
      <w:r w:rsidR="00115FC9" w:rsidRPr="00ED5D46">
        <w:rPr>
          <w:lang w:val="en-US"/>
        </w:rPr>
        <w:t xml:space="preserve">evaluation of the supporting documents submitted during the revised application procedure indicates that the need to file an application (for participating </w:t>
      </w:r>
      <w:r w:rsidR="00115FC9">
        <w:rPr>
          <w:lang w:val="en-US"/>
        </w:rPr>
        <w:t xml:space="preserve">in </w:t>
      </w:r>
      <w:r w:rsidR="00115FC9" w:rsidRPr="00ED5D46">
        <w:rPr>
          <w:lang w:val="en-US"/>
        </w:rPr>
        <w:t xml:space="preserve"> the program) offered the </w:t>
      </w:r>
      <w:r w:rsidR="00115FC9" w:rsidRPr="00906763">
        <w:rPr>
          <w:u w:val="single"/>
          <w:lang w:val="en-US"/>
        </w:rPr>
        <w:t>incentive for registering with the municipal rolls as well as for the issuance of any other necessary certificate</w:t>
      </w:r>
      <w:r w:rsidR="00115FC9" w:rsidRPr="00ED5D46">
        <w:rPr>
          <w:lang w:val="en-US"/>
        </w:rPr>
        <w:t xml:space="preserve"> such as identity card (consequently,  birth certificates as well) copies of tax returns etc. In that sense, the project contributed, although indirectly, to the mobilization of the population group in focus, in order to arrange civil and municipal issues as well as, on the long-run, to the establishment of informed “individual conscience”, regarding access to existing, necessary services. Furthermore, their “need” for being informed on the progress of their application and more specifically to comply with the requirements on housing “obliged”</w:t>
      </w:r>
      <w:r w:rsidR="00115FC9" w:rsidRPr="00ED5D46">
        <w:rPr>
          <w:rStyle w:val="FootnoteReference"/>
          <w:lang w:val="en-US"/>
        </w:rPr>
        <w:footnoteReference w:id="4"/>
      </w:r>
      <w:r w:rsidR="00115FC9" w:rsidRPr="00ED5D46">
        <w:rPr>
          <w:lang w:val="en-US"/>
        </w:rPr>
        <w:t xml:space="preserve"> them to access directly the competent public authorities, both at local and central level. </w:t>
      </w:r>
    </w:p>
    <w:p w:rsidR="00115FC9" w:rsidRDefault="00E45D1E" w:rsidP="00115FC9">
      <w:pPr>
        <w:spacing w:before="120" w:after="120"/>
        <w:ind w:right="26"/>
        <w:jc w:val="both"/>
        <w:rPr>
          <w:lang w:val="en-US"/>
        </w:rPr>
      </w:pPr>
      <w:r>
        <w:rPr>
          <w:bCs/>
          <w:lang w:val="en-US"/>
        </w:rPr>
        <w:t>215.</w:t>
      </w:r>
      <w:r>
        <w:rPr>
          <w:bCs/>
          <w:lang w:val="en-US"/>
        </w:rPr>
        <w:tab/>
      </w:r>
      <w:r w:rsidR="00115FC9">
        <w:rPr>
          <w:bCs/>
          <w:lang w:val="en-US"/>
        </w:rPr>
        <w:t xml:space="preserve">For those not registered with the municipal registries (a pre-condition for the registration on the electoral rolls), due to lack of certain documents, particular circulars were issued by the Ministry of Interior. </w:t>
      </w:r>
      <w:r w:rsidR="00115FC9" w:rsidRPr="0051775A">
        <w:rPr>
          <w:b/>
          <w:bCs/>
          <w:lang w:val="en-US"/>
        </w:rPr>
        <w:t>Under the current strategic reform, remaining issues on civic status are further elaborated taking into consideration</w:t>
      </w:r>
      <w:r w:rsidR="00115FC9">
        <w:rPr>
          <w:b/>
          <w:bCs/>
          <w:lang w:val="en-US"/>
        </w:rPr>
        <w:t xml:space="preserve"> </w:t>
      </w:r>
      <w:r w:rsidR="00C46424">
        <w:rPr>
          <w:b/>
          <w:bCs/>
          <w:lang w:val="en-US"/>
        </w:rPr>
        <w:t xml:space="preserve">the </w:t>
      </w:r>
      <w:r w:rsidR="00C46424" w:rsidRPr="0051775A">
        <w:rPr>
          <w:b/>
          <w:bCs/>
          <w:lang w:val="en-US"/>
        </w:rPr>
        <w:t>recommendations</w:t>
      </w:r>
      <w:r w:rsidR="00115FC9" w:rsidRPr="0051775A">
        <w:rPr>
          <w:b/>
          <w:bCs/>
          <w:lang w:val="en-US"/>
        </w:rPr>
        <w:t xml:space="preserve"> made by independent authorities in Greece, </w:t>
      </w:r>
      <w:r w:rsidR="00115FC9">
        <w:rPr>
          <w:b/>
          <w:bCs/>
          <w:lang w:val="en-US"/>
        </w:rPr>
        <w:t xml:space="preserve">such as </w:t>
      </w:r>
      <w:r w:rsidR="00115FC9" w:rsidRPr="0051775A">
        <w:rPr>
          <w:b/>
          <w:bCs/>
          <w:lang w:val="en-US"/>
        </w:rPr>
        <w:t>the Ombudsman and the National Commission for Human Rights</w:t>
      </w:r>
      <w:r w:rsidR="00115FC9">
        <w:rPr>
          <w:bCs/>
          <w:lang w:val="en-US"/>
        </w:rPr>
        <w:t>.</w:t>
      </w:r>
    </w:p>
    <w:p w:rsidR="00115FC9" w:rsidRDefault="00E45D1E" w:rsidP="00115FC9">
      <w:pPr>
        <w:spacing w:before="120" w:after="120"/>
        <w:ind w:right="26"/>
        <w:jc w:val="both"/>
        <w:rPr>
          <w:b/>
          <w:u w:val="single"/>
          <w:lang w:val="en-GB"/>
        </w:rPr>
      </w:pPr>
      <w:r>
        <w:rPr>
          <w:lang w:val="en-US"/>
        </w:rPr>
        <w:t>216.</w:t>
      </w:r>
      <w:r>
        <w:rPr>
          <w:lang w:val="en-US"/>
        </w:rPr>
        <w:tab/>
      </w:r>
      <w:r w:rsidR="00115FC9" w:rsidRPr="00ED5D46">
        <w:rPr>
          <w:lang w:val="en-US"/>
        </w:rPr>
        <w:t xml:space="preserve">Moreover, upon completion of the programming </w:t>
      </w:r>
      <w:r w:rsidR="00115FC9">
        <w:rPr>
          <w:lang w:val="en-US"/>
        </w:rPr>
        <w:t>time-frame</w:t>
      </w:r>
      <w:r w:rsidR="00115FC9" w:rsidRPr="00ED5D46">
        <w:rPr>
          <w:lang w:val="en-US"/>
        </w:rPr>
        <w:t xml:space="preserve"> of the IAP for the social integration of Greek Roma (2002 – 2008), the effective address of social exclusion still suffered by the Roma has initiated an </w:t>
      </w:r>
      <w:r w:rsidR="00115FC9" w:rsidRPr="00906763">
        <w:rPr>
          <w:u w:val="single"/>
          <w:lang w:val="en-US"/>
        </w:rPr>
        <w:t>overall effort for coordinated administrative reform</w:t>
      </w:r>
      <w:r w:rsidR="00115FC9" w:rsidRPr="00ED5D46">
        <w:rPr>
          <w:lang w:val="en-US"/>
        </w:rPr>
        <w:t>.</w:t>
      </w:r>
      <w:r w:rsidR="00115FC9" w:rsidRPr="008174D6">
        <w:rPr>
          <w:b/>
          <w:u w:val="single"/>
          <w:lang w:val="en-GB"/>
        </w:rPr>
        <w:t xml:space="preserve"> </w:t>
      </w:r>
    </w:p>
    <w:p w:rsidR="00115FC9" w:rsidRPr="00C46424" w:rsidRDefault="00E45D1E" w:rsidP="00115FC9">
      <w:pPr>
        <w:spacing w:before="120" w:after="120"/>
        <w:ind w:right="26"/>
        <w:jc w:val="both"/>
        <w:rPr>
          <w:lang w:val="en-GB"/>
        </w:rPr>
      </w:pPr>
      <w:r>
        <w:rPr>
          <w:lang w:val="en-GB"/>
        </w:rPr>
        <w:t>217.</w:t>
      </w:r>
      <w:r>
        <w:rPr>
          <w:lang w:val="en-GB"/>
        </w:rPr>
        <w:tab/>
      </w:r>
      <w:r w:rsidR="00115FC9" w:rsidRPr="00E7059C">
        <w:rPr>
          <w:lang w:val="en-GB"/>
        </w:rPr>
        <w:t>Following</w:t>
      </w:r>
      <w:r w:rsidR="00115FC9">
        <w:rPr>
          <w:lang w:val="en-GB"/>
        </w:rPr>
        <w:t xml:space="preserve"> </w:t>
      </w:r>
      <w:r w:rsidR="00115FC9" w:rsidRPr="00E7059C">
        <w:rPr>
          <w:lang w:val="en-GB"/>
        </w:rPr>
        <w:t xml:space="preserve">the 2010 legal reform on local and regional authorities’ responsibilities (“Kallikratis Program”), a </w:t>
      </w:r>
      <w:r w:rsidR="00115FC9" w:rsidRPr="00E7059C">
        <w:rPr>
          <w:b/>
          <w:lang w:val="en-GB"/>
        </w:rPr>
        <w:t>Department for Social Affairs</w:t>
      </w:r>
      <w:r w:rsidR="00115FC9" w:rsidRPr="00E7059C">
        <w:rPr>
          <w:lang w:val="en-GB"/>
        </w:rPr>
        <w:t xml:space="preserve"> </w:t>
      </w:r>
      <w:r w:rsidR="00115FC9" w:rsidRPr="00392E81">
        <w:rPr>
          <w:b/>
          <w:lang w:val="en-GB"/>
        </w:rPr>
        <w:t>has been established at the regional level, charged inter alia with the facilitation of housing rehabilitation issue</w:t>
      </w:r>
      <w:r w:rsidR="00115FC9">
        <w:rPr>
          <w:b/>
          <w:lang w:val="en-GB"/>
        </w:rPr>
        <w:t>s for traveller communities</w:t>
      </w:r>
      <w:r w:rsidR="00115FC9" w:rsidRPr="00392E81">
        <w:rPr>
          <w:b/>
          <w:lang w:val="en-GB"/>
        </w:rPr>
        <w:t xml:space="preserve"> at the local level</w:t>
      </w:r>
      <w:r w:rsidR="00115FC9">
        <w:rPr>
          <w:b/>
          <w:lang w:val="en-GB"/>
        </w:rPr>
        <w:t xml:space="preserve"> (provision of suitable places for settlement/stopping facilities)</w:t>
      </w:r>
      <w:r w:rsidR="00115FC9" w:rsidRPr="00E7059C">
        <w:rPr>
          <w:lang w:val="en-GB"/>
        </w:rPr>
        <w:t>, notably within the context of field national policies.</w:t>
      </w:r>
      <w:r w:rsidR="00115FC9">
        <w:rPr>
          <w:lang w:val="en-GB"/>
        </w:rPr>
        <w:t xml:space="preserve"> </w:t>
      </w:r>
      <w:r w:rsidR="00115FC9">
        <w:rPr>
          <w:szCs w:val="22"/>
          <w:lang w:val="en-GB"/>
        </w:rPr>
        <w:t>The provision lies within the greater context of the responsibilities assigned to the Decentralised Administration, notably to the newly established Directorate for Civic Status Issues and Social Affairs, with emphasis been placed on social cohesion and solidarity issues at the decentralised level.</w:t>
      </w:r>
    </w:p>
    <w:p w:rsidR="00115FC9" w:rsidRDefault="00E45D1E" w:rsidP="00115FC9">
      <w:pPr>
        <w:spacing w:before="120" w:after="120"/>
        <w:ind w:right="26"/>
        <w:jc w:val="both"/>
        <w:rPr>
          <w:bCs/>
          <w:lang w:val="en-GB"/>
        </w:rPr>
      </w:pPr>
      <w:r>
        <w:rPr>
          <w:bCs/>
          <w:lang w:val="en-GB"/>
        </w:rPr>
        <w:t>218.</w:t>
      </w:r>
      <w:r>
        <w:rPr>
          <w:bCs/>
          <w:lang w:val="en-GB"/>
        </w:rPr>
        <w:tab/>
      </w:r>
      <w:r w:rsidR="00115FC9">
        <w:rPr>
          <w:bCs/>
          <w:lang w:val="en-GB"/>
        </w:rPr>
        <w:t>Further, acknowledging that social integration is a multi-fold process operated at seve</w:t>
      </w:r>
      <w:r w:rsidR="00C46424">
        <w:rPr>
          <w:bCs/>
          <w:lang w:val="en-GB"/>
        </w:rPr>
        <w:t>ral levels of the administration but also the civil</w:t>
      </w:r>
      <w:r w:rsidR="00115FC9">
        <w:rPr>
          <w:bCs/>
          <w:lang w:val="en-GB"/>
        </w:rPr>
        <w:t xml:space="preserve"> society and with view to </w:t>
      </w:r>
      <w:r w:rsidR="00115FC9">
        <w:rPr>
          <w:b/>
          <w:u w:val="single"/>
          <w:lang w:val="en-GB"/>
        </w:rPr>
        <w:t>ensure cooperation at the local level,</w:t>
      </w:r>
      <w:r w:rsidR="00115FC9">
        <w:rPr>
          <w:bCs/>
          <w:lang w:val="en-GB"/>
        </w:rPr>
        <w:t xml:space="preserve"> the Ministry of Interior proceeded in </w:t>
      </w:r>
      <w:r w:rsidR="00115FC9" w:rsidRPr="00392E81">
        <w:rPr>
          <w:b/>
          <w:bCs/>
          <w:lang w:val="en-GB"/>
        </w:rPr>
        <w:t xml:space="preserve">2010 to a public call, addressing all authorities and bodies involved in the social integration of Roma (or operating in the field of Roma rights), in order to collect </w:t>
      </w:r>
      <w:r w:rsidR="00115FC9" w:rsidRPr="00392E81">
        <w:rPr>
          <w:b/>
          <w:bCs/>
          <w:lang w:val="en-GB"/>
        </w:rPr>
        <w:lastRenderedPageBreak/>
        <w:t>information (as well as possible quantitative data) on initiatives that have been undertaken in the past and are planned in the future</w:t>
      </w:r>
      <w:r w:rsidR="00115FC9">
        <w:rPr>
          <w:bCs/>
          <w:lang w:val="en-GB"/>
        </w:rPr>
        <w:t xml:space="preserve">. In </w:t>
      </w:r>
      <w:smartTag w:uri="urn:schemas-microsoft-com:office:smarttags" w:element="metricconverter">
        <w:smartTagPr>
          <w:attr w:name="ProductID" w:val="2012, a"/>
        </w:smartTagPr>
        <w:r w:rsidR="00115FC9">
          <w:rPr>
            <w:bCs/>
            <w:lang w:val="en-GB"/>
          </w:rPr>
          <w:t>2012, a</w:t>
        </w:r>
      </w:smartTag>
      <w:r w:rsidR="00115FC9">
        <w:rPr>
          <w:bCs/>
          <w:lang w:val="en-GB"/>
        </w:rPr>
        <w:t xml:space="preserve"> second cal</w:t>
      </w:r>
      <w:r w:rsidR="00C46424">
        <w:rPr>
          <w:bCs/>
          <w:lang w:val="en-GB"/>
        </w:rPr>
        <w:t>l</w:t>
      </w:r>
      <w:r w:rsidR="00115FC9">
        <w:rPr>
          <w:bCs/>
          <w:lang w:val="en-GB"/>
        </w:rPr>
        <w:t xml:space="preserve"> addressed particularly the Regions of the Country in view of the National Strategic Reference framework. The aim is that any measure undertaken, in particular at the local level, whether by local authorities or the civil society, including grassroot</w:t>
      </w:r>
      <w:r w:rsidR="00C46424">
        <w:rPr>
          <w:bCs/>
          <w:lang w:val="en-GB"/>
        </w:rPr>
        <w:t>s Roma NGOs</w:t>
      </w:r>
      <w:r w:rsidR="00115FC9">
        <w:rPr>
          <w:bCs/>
          <w:lang w:val="en-GB"/>
        </w:rPr>
        <w:t>, should serve the set goals within a greater strategic framework, so that field policies are not subverted.</w:t>
      </w:r>
      <w:r w:rsidR="00115FC9" w:rsidRPr="00ED5D46">
        <w:rPr>
          <w:lang w:val="en-US"/>
        </w:rPr>
        <w:t xml:space="preserve"> </w:t>
      </w:r>
      <w:r w:rsidR="00115FC9">
        <w:rPr>
          <w:lang w:val="en-US"/>
        </w:rPr>
        <w:t>T</w:t>
      </w:r>
      <w:r w:rsidR="00115FC9" w:rsidRPr="00ED5D46">
        <w:rPr>
          <w:lang w:val="en-US"/>
        </w:rPr>
        <w:t xml:space="preserve">he </w:t>
      </w:r>
      <w:r w:rsidR="00115FC9" w:rsidRPr="008174D6">
        <w:rPr>
          <w:b/>
          <w:u w:val="single"/>
          <w:lang w:val="en-US"/>
        </w:rPr>
        <w:t>need for a coordinated administrative intervention at the local and central level</w:t>
      </w:r>
      <w:r w:rsidR="00115FC9" w:rsidRPr="008174D6">
        <w:rPr>
          <w:b/>
          <w:lang w:val="en-US"/>
        </w:rPr>
        <w:t>,</w:t>
      </w:r>
      <w:r w:rsidR="00115FC9">
        <w:rPr>
          <w:b/>
          <w:lang w:val="en-US"/>
        </w:rPr>
        <w:t xml:space="preserve"> </w:t>
      </w:r>
      <w:r w:rsidR="00115FC9" w:rsidRPr="00BA1B7D">
        <w:rPr>
          <w:lang w:val="en-US"/>
        </w:rPr>
        <w:t>and the ensuing need</w:t>
      </w:r>
      <w:r w:rsidR="00115FC9" w:rsidRPr="008174D6">
        <w:rPr>
          <w:b/>
          <w:lang w:val="en-US"/>
        </w:rPr>
        <w:t xml:space="preserve"> </w:t>
      </w:r>
      <w:r w:rsidR="00C46424">
        <w:rPr>
          <w:b/>
          <w:lang w:val="en-US"/>
        </w:rPr>
        <w:t>for</w:t>
      </w:r>
      <w:r w:rsidR="00115FC9">
        <w:rPr>
          <w:b/>
          <w:lang w:val="en-US"/>
        </w:rPr>
        <w:t xml:space="preserve"> addressing </w:t>
      </w:r>
      <w:r w:rsidR="00115FC9" w:rsidRPr="008174D6">
        <w:rPr>
          <w:b/>
          <w:u w:val="single"/>
          <w:lang w:val="en-US"/>
        </w:rPr>
        <w:t>effectively long-lasting issues Roma are faced</w:t>
      </w:r>
      <w:r w:rsidR="00115FC9" w:rsidRPr="008174D6">
        <w:rPr>
          <w:b/>
          <w:lang w:val="en-US"/>
        </w:rPr>
        <w:t xml:space="preserve"> with in the field</w:t>
      </w:r>
      <w:r w:rsidR="00115FC9">
        <w:rPr>
          <w:b/>
          <w:lang w:val="en-US"/>
        </w:rPr>
        <w:t>s</w:t>
      </w:r>
      <w:r w:rsidR="00115FC9" w:rsidRPr="008174D6">
        <w:rPr>
          <w:b/>
          <w:lang w:val="en-US"/>
        </w:rPr>
        <w:t xml:space="preserve"> of housing, education, employment, health care and, all in all, towards their integration into the society</w:t>
      </w:r>
      <w:r w:rsidR="00115FC9">
        <w:rPr>
          <w:lang w:val="en-US"/>
        </w:rPr>
        <w:t xml:space="preserve">, </w:t>
      </w:r>
      <w:r w:rsidR="00115FC9" w:rsidRPr="00BA1B7D">
        <w:rPr>
          <w:lang w:val="en-US"/>
        </w:rPr>
        <w:t>has led to a</w:t>
      </w:r>
      <w:r w:rsidR="00115FC9">
        <w:rPr>
          <w:b/>
          <w:lang w:val="en-US"/>
        </w:rPr>
        <w:t xml:space="preserve"> new strategic framework for Roma in </w:t>
      </w:r>
      <w:smartTag w:uri="urn:schemas-microsoft-com:office:smarttags" w:element="place">
        <w:smartTag w:uri="urn:schemas-microsoft-com:office:smarttags" w:element="country-region">
          <w:r w:rsidR="00115FC9">
            <w:rPr>
              <w:b/>
              <w:lang w:val="en-US"/>
            </w:rPr>
            <w:t>Greece</w:t>
          </w:r>
        </w:smartTag>
      </w:smartTag>
      <w:r w:rsidR="00115FC9" w:rsidRPr="00ED5D46">
        <w:rPr>
          <w:lang w:val="en-US"/>
        </w:rPr>
        <w:t>.</w:t>
      </w:r>
      <w:r w:rsidR="00115FC9">
        <w:rPr>
          <w:lang w:val="en-US"/>
        </w:rPr>
        <w:t xml:space="preserve"> </w:t>
      </w:r>
      <w:r w:rsidR="00115FC9" w:rsidRPr="00ED5D46">
        <w:rPr>
          <w:lang w:val="en-US"/>
        </w:rPr>
        <w:t>A</w:t>
      </w:r>
      <w:r w:rsidR="00115FC9">
        <w:rPr>
          <w:lang w:val="en-US"/>
        </w:rPr>
        <w:t xml:space="preserve"> </w:t>
      </w:r>
      <w:r w:rsidR="00115FC9" w:rsidRPr="00ED5D46">
        <w:rPr>
          <w:lang w:val="en-US"/>
        </w:rPr>
        <w:t xml:space="preserve">wide range of crucial questions are reviewed </w:t>
      </w:r>
      <w:r w:rsidR="00C46424">
        <w:rPr>
          <w:lang w:val="en-US"/>
        </w:rPr>
        <w:t>in</w:t>
      </w:r>
      <w:r w:rsidR="00115FC9">
        <w:rPr>
          <w:lang w:val="en-US"/>
        </w:rPr>
        <w:t xml:space="preserve"> this direction</w:t>
      </w:r>
      <w:r w:rsidR="00C46424">
        <w:rPr>
          <w:lang w:val="en-US"/>
        </w:rPr>
        <w:t xml:space="preserve">. </w:t>
      </w:r>
      <w:r w:rsidR="00115FC9" w:rsidRPr="00ED5D46">
        <w:rPr>
          <w:lang w:val="en-US"/>
        </w:rPr>
        <w:t xml:space="preserve">The </w:t>
      </w:r>
      <w:r w:rsidR="00115FC9" w:rsidRPr="00906763">
        <w:rPr>
          <w:u w:val="single"/>
          <w:lang w:val="en-US"/>
        </w:rPr>
        <w:t>establishment of specific procedural and legislative guarantees</w:t>
      </w:r>
      <w:r w:rsidR="00115FC9" w:rsidRPr="00ED5D46">
        <w:rPr>
          <w:lang w:val="en-US"/>
        </w:rPr>
        <w:t xml:space="preserve"> </w:t>
      </w:r>
      <w:r w:rsidR="00C46424">
        <w:rPr>
          <w:u w:val="single"/>
          <w:lang w:val="en-US"/>
        </w:rPr>
        <w:t>with emphasis being</w:t>
      </w:r>
      <w:r w:rsidR="00115FC9">
        <w:rPr>
          <w:u w:val="single"/>
          <w:lang w:val="en-US"/>
        </w:rPr>
        <w:t xml:space="preserve"> placed on unlawful evictions</w:t>
      </w:r>
      <w:r w:rsidR="00115FC9">
        <w:rPr>
          <w:rStyle w:val="FootnoteReference"/>
          <w:u w:val="single"/>
          <w:lang w:val="en-US"/>
        </w:rPr>
        <w:footnoteReference w:id="5"/>
      </w:r>
      <w:r w:rsidR="00115FC9">
        <w:rPr>
          <w:u w:val="single"/>
          <w:lang w:val="en-US"/>
        </w:rPr>
        <w:t xml:space="preserve"> </w:t>
      </w:r>
      <w:r w:rsidR="00115FC9" w:rsidRPr="00ED5D46">
        <w:rPr>
          <w:lang w:val="en-US"/>
        </w:rPr>
        <w:t xml:space="preserve">as well as the </w:t>
      </w:r>
      <w:r w:rsidR="00115FC9" w:rsidRPr="00906763">
        <w:rPr>
          <w:u w:val="single"/>
          <w:lang w:val="en-US"/>
        </w:rPr>
        <w:t>principal prerequisite on synergy</w:t>
      </w:r>
      <w:r w:rsidR="00115FC9" w:rsidRPr="009C1F5D">
        <w:rPr>
          <w:u w:val="single"/>
          <w:lang w:val="en-US"/>
        </w:rPr>
        <w:t xml:space="preserve"> </w:t>
      </w:r>
      <w:r w:rsidR="00115FC9">
        <w:rPr>
          <w:u w:val="single"/>
          <w:lang w:val="en-US"/>
        </w:rPr>
        <w:t>on behalf of the bodies involved in terms of rational planning, including Roma participation</w:t>
      </w:r>
      <w:r w:rsidR="00115FC9" w:rsidRPr="00ED5D46">
        <w:rPr>
          <w:lang w:val="en-US"/>
        </w:rPr>
        <w:t xml:space="preserve"> </w:t>
      </w:r>
      <w:r w:rsidR="00115FC9">
        <w:rPr>
          <w:lang w:val="en-US"/>
        </w:rPr>
        <w:t>,</w:t>
      </w:r>
      <w:r w:rsidR="00115FC9" w:rsidRPr="00ED5D46">
        <w:rPr>
          <w:lang w:val="en-US"/>
        </w:rPr>
        <w:t xml:space="preserve">are among these examined in order </w:t>
      </w:r>
      <w:r w:rsidR="00115FC9" w:rsidRPr="00906763">
        <w:rPr>
          <w:u w:val="single"/>
          <w:lang w:val="en-US"/>
        </w:rPr>
        <w:t>to safeguard equal access to fundamental rights</w:t>
      </w:r>
      <w:r w:rsidR="00115FC9" w:rsidRPr="00ED5D46">
        <w:rPr>
          <w:lang w:val="en-US"/>
        </w:rPr>
        <w:t>.</w:t>
      </w:r>
      <w:r w:rsidR="00115FC9">
        <w:rPr>
          <w:lang w:val="en-US"/>
        </w:rPr>
        <w:t xml:space="preserve"> F</w:t>
      </w:r>
      <w:r w:rsidR="00115FC9" w:rsidRPr="00ED5D46">
        <w:rPr>
          <w:lang w:val="en-US"/>
        </w:rPr>
        <w:t>ocusing on addressing the deficits of the past operational period, special emphasis is given</w:t>
      </w:r>
      <w:r w:rsidR="00115FC9">
        <w:rPr>
          <w:lang w:val="en-US"/>
        </w:rPr>
        <w:t xml:space="preserve"> –as recommended by the NCHR and the Ombudsman- </w:t>
      </w:r>
      <w:r w:rsidR="00115FC9" w:rsidRPr="00ED5D46">
        <w:rPr>
          <w:lang w:val="en-US"/>
        </w:rPr>
        <w:t xml:space="preserve"> </w:t>
      </w:r>
      <w:r w:rsidR="00115FC9">
        <w:rPr>
          <w:lang w:val="en-US"/>
        </w:rPr>
        <w:t xml:space="preserve">to </w:t>
      </w:r>
      <w:r w:rsidR="00115FC9" w:rsidRPr="00ED5D46">
        <w:rPr>
          <w:lang w:val="en-US"/>
        </w:rPr>
        <w:t xml:space="preserve">the </w:t>
      </w:r>
      <w:r w:rsidR="00115FC9" w:rsidRPr="00906763">
        <w:rPr>
          <w:u w:val="single"/>
          <w:lang w:val="en-US"/>
        </w:rPr>
        <w:t>fragmentation of actions, the lack of a systematic monitoring and adequate targeting of the interventions upheld based on the priorities set by different needs of the target group at the local leve</w:t>
      </w:r>
      <w:r w:rsidR="00115FC9" w:rsidRPr="00ED5D46">
        <w:rPr>
          <w:lang w:val="en-US"/>
        </w:rPr>
        <w:t xml:space="preserve">l. To this end, the development of </w:t>
      </w:r>
      <w:r w:rsidR="00115FC9" w:rsidRPr="00906763">
        <w:rPr>
          <w:u w:val="single"/>
          <w:lang w:val="en-US"/>
        </w:rPr>
        <w:t>local</w:t>
      </w:r>
      <w:r w:rsidR="00115FC9">
        <w:rPr>
          <w:u w:val="single"/>
          <w:lang w:val="en-US"/>
        </w:rPr>
        <w:t xml:space="preserve"> integrated </w:t>
      </w:r>
      <w:r w:rsidR="00115FC9" w:rsidRPr="00906763">
        <w:rPr>
          <w:u w:val="single"/>
          <w:lang w:val="en-US"/>
        </w:rPr>
        <w:t>intervention</w:t>
      </w:r>
      <w:r w:rsidR="00115FC9">
        <w:rPr>
          <w:u w:val="single"/>
          <w:lang w:val="en-US"/>
        </w:rPr>
        <w:t>s turns to a major component of the new strategic framework and its holistic approach,</w:t>
      </w:r>
      <w:r w:rsidR="00115FC9" w:rsidRPr="00906763">
        <w:rPr>
          <w:u w:val="single"/>
          <w:lang w:val="en-US"/>
        </w:rPr>
        <w:t xml:space="preserve"> </w:t>
      </w:r>
      <w:r w:rsidR="00115FC9">
        <w:rPr>
          <w:lang w:val="en-US"/>
        </w:rPr>
        <w:t>s</w:t>
      </w:r>
      <w:r w:rsidR="00115FC9" w:rsidRPr="00ED5D46">
        <w:rPr>
          <w:lang w:val="en-US"/>
        </w:rPr>
        <w:t>ince full access to civil, social and political rights is processed on the basis of the living conditions and the different</w:t>
      </w:r>
      <w:r w:rsidR="00115FC9">
        <w:rPr>
          <w:lang w:val="en-US"/>
        </w:rPr>
        <w:t>iated</w:t>
      </w:r>
      <w:r w:rsidR="00115FC9" w:rsidRPr="00ED5D46">
        <w:rPr>
          <w:lang w:val="en-US"/>
        </w:rPr>
        <w:t xml:space="preserve"> needs, at the local but also social dimension of the community they live at. </w:t>
      </w:r>
      <w:r w:rsidR="00115FC9">
        <w:rPr>
          <w:bCs/>
          <w:lang w:val="en-GB"/>
        </w:rPr>
        <w:t xml:space="preserve">In practice, </w:t>
      </w:r>
      <w:r w:rsidR="00115FC9" w:rsidRPr="00F56D62">
        <w:rPr>
          <w:bCs/>
          <w:lang w:val="en-GB"/>
        </w:rPr>
        <w:t xml:space="preserve">this assumes </w:t>
      </w:r>
      <w:r w:rsidR="00115FC9" w:rsidRPr="00F56D62">
        <w:rPr>
          <w:bCs/>
          <w:u w:val="single"/>
          <w:lang w:val="en-GB"/>
        </w:rPr>
        <w:t>prioritisation of the different needs of the Roma population</w:t>
      </w:r>
      <w:r w:rsidR="00115FC9" w:rsidRPr="00F56D62">
        <w:rPr>
          <w:bCs/>
          <w:lang w:val="en-GB"/>
        </w:rPr>
        <w:t xml:space="preserve"> as assessed through a new tool developed particularly to this end (</w:t>
      </w:r>
      <w:r w:rsidR="00115FC9" w:rsidRPr="00F56D62">
        <w:rPr>
          <w:bCs/>
          <w:u w:val="single"/>
          <w:lang w:val="en-GB"/>
        </w:rPr>
        <w:t>database</w:t>
      </w:r>
      <w:r w:rsidR="00115FC9">
        <w:rPr>
          <w:rStyle w:val="FootnoteReference"/>
          <w:bCs/>
          <w:u w:val="single"/>
          <w:lang w:val="en-GB"/>
        </w:rPr>
        <w:footnoteReference w:id="6"/>
      </w:r>
      <w:r w:rsidR="00115FC9" w:rsidRPr="00F56D62">
        <w:rPr>
          <w:bCs/>
          <w:u w:val="single"/>
          <w:lang w:val="en-GB"/>
        </w:rPr>
        <w:t xml:space="preserve"> on the living conditions of Roma to be updated at the local level</w:t>
      </w:r>
      <w:r w:rsidR="00115FC9" w:rsidRPr="00F56D62">
        <w:rPr>
          <w:bCs/>
          <w:lang w:val="en-GB"/>
        </w:rPr>
        <w:t xml:space="preserve">). </w:t>
      </w:r>
    </w:p>
    <w:p w:rsidR="00115FC9" w:rsidRDefault="00E45D1E" w:rsidP="00115FC9">
      <w:pPr>
        <w:spacing w:before="120" w:after="120"/>
        <w:ind w:right="26"/>
        <w:jc w:val="both"/>
        <w:rPr>
          <w:lang w:val="en-US"/>
        </w:rPr>
      </w:pPr>
      <w:r>
        <w:rPr>
          <w:lang w:val="en-US"/>
        </w:rPr>
        <w:t>219.</w:t>
      </w:r>
      <w:r>
        <w:rPr>
          <w:lang w:val="en-US"/>
        </w:rPr>
        <w:tab/>
      </w:r>
      <w:r w:rsidR="00115FC9" w:rsidRPr="00ED5D46">
        <w:rPr>
          <w:lang w:val="en-US"/>
        </w:rPr>
        <w:t xml:space="preserve">Additional questions such as the </w:t>
      </w:r>
      <w:r w:rsidR="00115FC9" w:rsidRPr="00906763">
        <w:rPr>
          <w:u w:val="single"/>
          <w:lang w:val="en-US"/>
        </w:rPr>
        <w:t>development of the civil and municipal situation of the population to a major question and priority issue</w:t>
      </w:r>
      <w:r w:rsidR="00115FC9" w:rsidRPr="00ED5D46">
        <w:rPr>
          <w:lang w:val="en-US"/>
        </w:rPr>
        <w:t xml:space="preserve"> in accordance too with the recommendations of the Ombudsman and other advisory to the administr</w:t>
      </w:r>
      <w:r w:rsidR="00C46424">
        <w:rPr>
          <w:lang w:val="en-US"/>
        </w:rPr>
        <w:t>ation bodies (National Commission</w:t>
      </w:r>
      <w:r w:rsidR="00115FC9" w:rsidRPr="00ED5D46">
        <w:rPr>
          <w:lang w:val="en-US"/>
        </w:rPr>
        <w:t xml:space="preserve"> for Human Rights), as well as </w:t>
      </w:r>
      <w:r w:rsidR="00115FC9" w:rsidRPr="0051775A">
        <w:rPr>
          <w:b/>
          <w:u w:val="single"/>
          <w:lang w:val="en-US"/>
        </w:rPr>
        <w:t xml:space="preserve">supplementary interventions on </w:t>
      </w:r>
      <w:r w:rsidR="00115FC9">
        <w:rPr>
          <w:b/>
          <w:u w:val="single"/>
          <w:lang w:val="en-US"/>
        </w:rPr>
        <w:t xml:space="preserve">culture and </w:t>
      </w:r>
      <w:r w:rsidR="00115FC9" w:rsidRPr="0051775A">
        <w:rPr>
          <w:b/>
          <w:u w:val="single"/>
          <w:lang w:val="en-US"/>
        </w:rPr>
        <w:t>awareness raising</w:t>
      </w:r>
      <w:r w:rsidR="00115FC9" w:rsidRPr="00ED5D46">
        <w:rPr>
          <w:lang w:val="en-US"/>
        </w:rPr>
        <w:t xml:space="preserve"> of the majority population and the target group in question</w:t>
      </w:r>
      <w:r w:rsidR="00115FC9">
        <w:rPr>
          <w:lang w:val="en-US"/>
        </w:rPr>
        <w:t>,</w:t>
      </w:r>
      <w:r w:rsidR="00115FC9" w:rsidRPr="00ED5D46">
        <w:rPr>
          <w:lang w:val="en-US"/>
        </w:rPr>
        <w:t xml:space="preserve"> are equally addressed within this greater </w:t>
      </w:r>
      <w:r w:rsidR="00115FC9" w:rsidRPr="00ED5D46">
        <w:rPr>
          <w:lang w:val="en-US"/>
        </w:rPr>
        <w:lastRenderedPageBreak/>
        <w:t xml:space="preserve">effort. </w:t>
      </w:r>
      <w:r w:rsidR="008532C1" w:rsidRPr="008532C1">
        <w:rPr>
          <w:lang w:val="en-US"/>
        </w:rPr>
        <w:t xml:space="preserve">The </w:t>
      </w:r>
      <w:r w:rsidR="008532C1" w:rsidRPr="008532C1">
        <w:rPr>
          <w:b/>
          <w:u w:val="single"/>
          <w:lang w:val="en-US"/>
        </w:rPr>
        <w:t>“dosta!” campaign</w:t>
      </w:r>
      <w:r w:rsidR="008532C1" w:rsidRPr="008532C1">
        <w:rPr>
          <w:lang w:val="en-US"/>
        </w:rPr>
        <w:t xml:space="preserve"> of the Council of Europe launched in Greece in </w:t>
      </w:r>
      <w:r w:rsidR="008532C1" w:rsidRPr="008532C1">
        <w:rPr>
          <w:b/>
          <w:lang w:val="en-US"/>
        </w:rPr>
        <w:t>2011</w:t>
      </w:r>
      <w:r w:rsidR="008532C1" w:rsidRPr="008532C1">
        <w:rPr>
          <w:lang w:val="en-US"/>
        </w:rPr>
        <w:t xml:space="preserve"> is particularly expected to contribute a lot to </w:t>
      </w:r>
      <w:r w:rsidR="008532C1" w:rsidRPr="008532C1">
        <w:rPr>
          <w:b/>
          <w:lang w:val="en-US"/>
        </w:rPr>
        <w:t>awareness raising purposes of the greater population</w:t>
      </w:r>
      <w:r w:rsidR="008532C1" w:rsidRPr="008532C1">
        <w:rPr>
          <w:lang w:val="en-US"/>
        </w:rPr>
        <w:t xml:space="preserve"> as well as to the essential combat</w:t>
      </w:r>
      <w:r w:rsidR="00C46424">
        <w:rPr>
          <w:lang w:val="en-US"/>
        </w:rPr>
        <w:t>ing</w:t>
      </w:r>
      <w:r w:rsidR="008532C1" w:rsidRPr="008532C1">
        <w:rPr>
          <w:lang w:val="en-US"/>
        </w:rPr>
        <w:t xml:space="preserve"> of discrimination and </w:t>
      </w:r>
      <w:r w:rsidR="008532C1" w:rsidRPr="008532C1">
        <w:rPr>
          <w:b/>
          <w:lang w:val="en-US"/>
        </w:rPr>
        <w:t>existing prejudices against Roma</w:t>
      </w:r>
      <w:r w:rsidR="008532C1" w:rsidRPr="008532C1">
        <w:rPr>
          <w:lang w:val="en-US"/>
        </w:rPr>
        <w:t xml:space="preserve"> on the basis of all possible dimensions of social exclusion rather than on diverse identification such as on ethnicity or racial origin.</w:t>
      </w:r>
    </w:p>
    <w:p w:rsidR="00115FC9" w:rsidRDefault="00E45D1E" w:rsidP="00115FC9">
      <w:pPr>
        <w:spacing w:before="120" w:after="120"/>
        <w:ind w:right="26"/>
        <w:jc w:val="both"/>
        <w:rPr>
          <w:bCs/>
          <w:lang w:val="en-US"/>
        </w:rPr>
      </w:pPr>
      <w:r>
        <w:rPr>
          <w:bCs/>
          <w:lang w:val="en-US"/>
        </w:rPr>
        <w:t>220.</w:t>
      </w:r>
      <w:r>
        <w:rPr>
          <w:bCs/>
          <w:lang w:val="en-US"/>
        </w:rPr>
        <w:tab/>
      </w:r>
      <w:r w:rsidR="00C46424">
        <w:rPr>
          <w:bCs/>
          <w:lang w:val="en-US"/>
        </w:rPr>
        <w:t xml:space="preserve">Finally, it is worth mentioning </w:t>
      </w:r>
      <w:r w:rsidR="00115FC9">
        <w:rPr>
          <w:bCs/>
          <w:lang w:val="en-US"/>
        </w:rPr>
        <w:t>that Roma representatives participate in central government’s structures responsible for the implementation of Roma programs. Further to that it should be recalled that cooperation with central administration on Roma issues is also pursued through the Pan-Hellenic network of municipalities (ROM Net) holding Roma population. The network has been established upon local authorities’ initiative and encompasses Roma participation too in its administrative structures.</w:t>
      </w:r>
    </w:p>
    <w:p w:rsidR="00822681" w:rsidRDefault="00822681">
      <w:pPr>
        <w:tabs>
          <w:tab w:val="num" w:pos="2160"/>
        </w:tabs>
        <w:ind w:right="26"/>
        <w:jc w:val="both"/>
        <w:rPr>
          <w:lang w:val="en-US"/>
        </w:rPr>
      </w:pPr>
    </w:p>
    <w:p w:rsidR="00822681" w:rsidRDefault="00822681">
      <w:pPr>
        <w:tabs>
          <w:tab w:val="left" w:pos="400"/>
          <w:tab w:val="num" w:pos="1000"/>
        </w:tabs>
        <w:spacing w:after="120"/>
        <w:ind w:right="26"/>
        <w:jc w:val="both"/>
        <w:rPr>
          <w:bCs/>
          <w:u w:val="single"/>
          <w:lang w:val="en-US"/>
        </w:rPr>
      </w:pPr>
      <w:r>
        <w:rPr>
          <w:bCs/>
          <w:u w:val="single"/>
          <w:lang w:val="en-US"/>
        </w:rPr>
        <w:t>Police action in relation to “forced evictions’ of Roma (paras. 21, 32 and 42 of the Committee’s Concluding Observations)</w:t>
      </w:r>
    </w:p>
    <w:p w:rsidR="00822681" w:rsidRDefault="00E45D1E">
      <w:pPr>
        <w:pStyle w:val="BodyTextIndent"/>
        <w:autoSpaceDE w:val="0"/>
        <w:autoSpaceDN w:val="0"/>
        <w:adjustRightInd w:val="0"/>
        <w:spacing w:after="0"/>
        <w:ind w:left="0" w:right="26"/>
        <w:jc w:val="both"/>
        <w:rPr>
          <w:lang w:val="en-US"/>
        </w:rPr>
      </w:pPr>
      <w:r>
        <w:rPr>
          <w:lang w:val="en-US"/>
        </w:rPr>
        <w:t>221.</w:t>
      </w:r>
      <w:r>
        <w:rPr>
          <w:lang w:val="en-US"/>
        </w:rPr>
        <w:tab/>
      </w:r>
      <w:r w:rsidR="00822681">
        <w:rPr>
          <w:lang w:val="en-US"/>
        </w:rPr>
        <w:t xml:space="preserve">The Sanitary Provision A5/696/83 as amended by the similar provision no 2361/2003 regulates the settlement of itinerant persons, inter alia persons of Roma origin. The Hellenic Police is responsible for controlling the existence of the relevant authorization. Illegal settlement is considered as an offence. Health and Police Services, as well as the Municipal Police, where existent, are competent for monitoring compliance with the aforementioned provisions. </w:t>
      </w:r>
    </w:p>
    <w:p w:rsidR="00822681" w:rsidRDefault="00822681">
      <w:pPr>
        <w:pStyle w:val="BodyTextIndent"/>
        <w:autoSpaceDE w:val="0"/>
        <w:autoSpaceDN w:val="0"/>
        <w:adjustRightInd w:val="0"/>
        <w:spacing w:after="0"/>
        <w:ind w:left="0" w:right="26"/>
        <w:jc w:val="both"/>
        <w:rPr>
          <w:lang w:val="en-US"/>
        </w:rPr>
      </w:pPr>
    </w:p>
    <w:p w:rsidR="00822681" w:rsidRDefault="00E45D1E">
      <w:pPr>
        <w:pStyle w:val="BodyTextIndent"/>
        <w:autoSpaceDE w:val="0"/>
        <w:autoSpaceDN w:val="0"/>
        <w:adjustRightInd w:val="0"/>
        <w:spacing w:after="0"/>
        <w:ind w:left="0" w:right="26"/>
        <w:jc w:val="both"/>
        <w:rPr>
          <w:lang w:val="en-US"/>
        </w:rPr>
      </w:pPr>
      <w:r>
        <w:rPr>
          <w:lang w:val="en-US"/>
        </w:rPr>
        <w:t>222.</w:t>
      </w:r>
      <w:r>
        <w:rPr>
          <w:lang w:val="en-US"/>
        </w:rPr>
        <w:tab/>
      </w:r>
      <w:r w:rsidR="00822681">
        <w:rPr>
          <w:lang w:val="en-US"/>
        </w:rPr>
        <w:t xml:space="preserve">Police competence in the said matter consists, as already mentioned, in controlling whether the relevant settlement authorization has been issued as well as in providing lawful assistance, within the framework of articles 159 and 161 of Presidential Decree 141/1991, whenever requested, for the eviction from public, municipal or private areas of illegally settled itinerant persons. </w:t>
      </w:r>
    </w:p>
    <w:p w:rsidR="00822681" w:rsidRDefault="00822681">
      <w:pPr>
        <w:pStyle w:val="BodyTextIndent"/>
        <w:autoSpaceDE w:val="0"/>
        <w:autoSpaceDN w:val="0"/>
        <w:adjustRightInd w:val="0"/>
        <w:spacing w:after="0"/>
        <w:ind w:left="0" w:right="26"/>
        <w:jc w:val="both"/>
        <w:rPr>
          <w:lang w:val="en-US"/>
        </w:rPr>
      </w:pPr>
    </w:p>
    <w:p w:rsidR="00822681" w:rsidRDefault="00E45D1E">
      <w:pPr>
        <w:pStyle w:val="BodyTextIndent"/>
        <w:autoSpaceDE w:val="0"/>
        <w:autoSpaceDN w:val="0"/>
        <w:adjustRightInd w:val="0"/>
        <w:spacing w:after="0"/>
        <w:ind w:left="0" w:right="26"/>
        <w:jc w:val="both"/>
        <w:rPr>
          <w:lang w:val="en-US"/>
        </w:rPr>
      </w:pPr>
      <w:r>
        <w:rPr>
          <w:lang w:val="en-US"/>
        </w:rPr>
        <w:t>223.</w:t>
      </w:r>
      <w:r>
        <w:rPr>
          <w:lang w:val="en-US"/>
        </w:rPr>
        <w:tab/>
      </w:r>
      <w:r w:rsidR="00822681">
        <w:rPr>
          <w:lang w:val="en-US"/>
        </w:rPr>
        <w:t xml:space="preserve">In general, the Hellenic Police Headquarters have underlined, through relevant orders to all regional Services, the duty of police officers to show good behavior towards all citizens, to respect the latter’s personality and rights and to ensure equal treatment without racial, ethnic or any other kind of discrimination in accordance, inter alia,  with article 5, paragraphs 3 and 4 of Presidential Decree 254/2004, “Code Of  Police Ethics”. </w:t>
      </w:r>
    </w:p>
    <w:p w:rsidR="00822681" w:rsidRDefault="00822681">
      <w:pPr>
        <w:pStyle w:val="BodyTextIndent"/>
        <w:autoSpaceDE w:val="0"/>
        <w:autoSpaceDN w:val="0"/>
        <w:adjustRightInd w:val="0"/>
        <w:spacing w:after="0"/>
        <w:ind w:left="0" w:right="26"/>
        <w:jc w:val="both"/>
        <w:rPr>
          <w:lang w:val="en-US"/>
        </w:rPr>
      </w:pPr>
    </w:p>
    <w:p w:rsidR="00822681" w:rsidRDefault="00E45D1E">
      <w:pPr>
        <w:pStyle w:val="BodyTextIndent"/>
        <w:autoSpaceDE w:val="0"/>
        <w:autoSpaceDN w:val="0"/>
        <w:adjustRightInd w:val="0"/>
        <w:spacing w:after="0"/>
        <w:ind w:left="0" w:right="26"/>
        <w:jc w:val="both"/>
        <w:rPr>
          <w:lang w:val="en-US"/>
        </w:rPr>
      </w:pPr>
      <w:r>
        <w:rPr>
          <w:lang w:val="en-US"/>
        </w:rPr>
        <w:t>224.</w:t>
      </w:r>
      <w:r>
        <w:rPr>
          <w:lang w:val="en-US"/>
        </w:rPr>
        <w:tab/>
      </w:r>
      <w:r w:rsidR="00822681">
        <w:rPr>
          <w:lang w:val="en-US"/>
        </w:rPr>
        <w:t xml:space="preserve">The protection of the rights of persons of Roma origin and the elimination of any kind of racist behavior against them are issues of principle for Greek Police Headquarters. When dealing with issues related to Roma, the police authorities involved manifest a particular sensibility, bearing in mind that Roma belong to a vulnerable social group. </w:t>
      </w:r>
    </w:p>
    <w:p w:rsidR="00822681" w:rsidRDefault="00822681">
      <w:pPr>
        <w:pStyle w:val="BodyTextIndent"/>
        <w:ind w:left="0" w:right="26"/>
        <w:jc w:val="both"/>
        <w:rPr>
          <w:lang w:val="en-US"/>
        </w:rPr>
      </w:pPr>
    </w:p>
    <w:p w:rsidR="00822681" w:rsidRDefault="00E45D1E">
      <w:pPr>
        <w:pStyle w:val="BodyTextIndent"/>
        <w:ind w:left="0" w:right="26"/>
        <w:jc w:val="both"/>
        <w:rPr>
          <w:lang w:val="en-US"/>
        </w:rPr>
      </w:pPr>
      <w:r>
        <w:rPr>
          <w:lang w:val="en-US"/>
        </w:rPr>
        <w:t>225.</w:t>
      </w:r>
      <w:r>
        <w:rPr>
          <w:lang w:val="en-US"/>
        </w:rPr>
        <w:tab/>
      </w:r>
      <w:r w:rsidR="00822681">
        <w:rPr>
          <w:lang w:val="en-US"/>
        </w:rPr>
        <w:t xml:space="preserve">Following a circular order to all Services in 2004, the use of derogatory terms (for example the term “athiganos”) was prohibited in correspondence, written announcements and oral statements of Police Services and their personnel. </w:t>
      </w:r>
    </w:p>
    <w:p w:rsidR="00822681" w:rsidRDefault="00E45D1E">
      <w:pPr>
        <w:pStyle w:val="BodyTextIndent"/>
        <w:ind w:left="0" w:right="26"/>
        <w:jc w:val="both"/>
        <w:rPr>
          <w:lang w:val="en-US"/>
        </w:rPr>
      </w:pPr>
      <w:r>
        <w:rPr>
          <w:lang w:val="en-US"/>
        </w:rPr>
        <w:t>226.</w:t>
      </w:r>
      <w:r>
        <w:rPr>
          <w:lang w:val="en-US"/>
        </w:rPr>
        <w:tab/>
      </w:r>
      <w:r w:rsidR="00822681">
        <w:rPr>
          <w:lang w:val="en-US"/>
        </w:rPr>
        <w:t xml:space="preserve">Great importance is attached to the personnel’s training and continuous training on </w:t>
      </w:r>
      <w:r w:rsidR="00822681">
        <w:rPr>
          <w:bCs/>
          <w:lang w:val="en-US"/>
        </w:rPr>
        <w:t xml:space="preserve">matters of human rights protection. </w:t>
      </w:r>
      <w:r w:rsidR="00822681">
        <w:rPr>
          <w:lang w:val="en-US"/>
        </w:rPr>
        <w:t xml:space="preserve">Furthermore, strict provisions have been enacted in the Disciplinary Regulations of Police Personnel for the punishment </w:t>
      </w:r>
      <w:r w:rsidR="00822681">
        <w:rPr>
          <w:lang w:val="en-US"/>
        </w:rPr>
        <w:lastRenderedPageBreak/>
        <w:t>of offensive behaviors, on one hand, and, on the other hand, for the speediest possible examination and hearing of the disciplinary offences concerned.</w:t>
      </w:r>
    </w:p>
    <w:p w:rsidR="00822681" w:rsidRDefault="00E45D1E">
      <w:pPr>
        <w:jc w:val="both"/>
        <w:rPr>
          <w:lang w:val="en-US"/>
        </w:rPr>
      </w:pPr>
      <w:r>
        <w:rPr>
          <w:lang w:val="en-US"/>
        </w:rPr>
        <w:t>227.</w:t>
      </w:r>
      <w:r>
        <w:rPr>
          <w:lang w:val="en-US"/>
        </w:rPr>
        <w:tab/>
      </w:r>
      <w:r w:rsidR="00822681">
        <w:rPr>
          <w:lang w:val="en-US"/>
        </w:rPr>
        <w:t xml:space="preserve">An important recent development is the adoption of Law 3938/2011 which established, within the Ministry of Citizens’ Protection, an Office, subject to the Minister, responsible for handling alleged instances of abuse. The aim of the Office is to review in an effective manner instances of ill-treatment of individuals or violations of human dignity by police officers. The mission of the Office is to collect, register, assess and further refer for investigation complaints about acts of Police, Coast Guard and Fire Brigade officers in the exercise of their duties or in abuse of their officers’ status. Furthermore, it will investigate cases for which a violation has been found by the European Court of Human Rights. </w:t>
      </w:r>
    </w:p>
    <w:p w:rsidR="00044C70" w:rsidRDefault="00044C70">
      <w:pPr>
        <w:ind w:right="26"/>
        <w:jc w:val="both"/>
        <w:rPr>
          <w:b/>
          <w:bCs/>
          <w:lang w:val="en-US"/>
        </w:rPr>
      </w:pPr>
    </w:p>
    <w:p w:rsidR="00822681" w:rsidRDefault="00822681">
      <w:pPr>
        <w:ind w:right="26"/>
        <w:jc w:val="both"/>
        <w:rPr>
          <w:b/>
          <w:bCs/>
          <w:lang w:val="en-US"/>
        </w:rPr>
      </w:pPr>
      <w:r>
        <w:rPr>
          <w:b/>
          <w:bCs/>
          <w:lang w:val="en-US"/>
        </w:rPr>
        <w:t>Measures to combat poverty (paras. 20, 41)</w:t>
      </w:r>
    </w:p>
    <w:p w:rsidR="005B2D35" w:rsidRPr="005B2D35" w:rsidRDefault="005B2D35" w:rsidP="005B2D35">
      <w:pPr>
        <w:ind w:right="26"/>
        <w:jc w:val="both"/>
        <w:rPr>
          <w:u w:val="single"/>
          <w:lang w:val="en-US"/>
        </w:rPr>
      </w:pPr>
      <w:r w:rsidRPr="005B2D35">
        <w:rPr>
          <w:u w:val="single"/>
          <w:lang w:val="en-US"/>
        </w:rPr>
        <w:t>Indicators for measuring Poverty</w:t>
      </w:r>
    </w:p>
    <w:p w:rsidR="005B2D35" w:rsidRPr="005B2D35" w:rsidRDefault="00E45D1E" w:rsidP="005B2D35">
      <w:pPr>
        <w:ind w:right="26"/>
        <w:jc w:val="both"/>
        <w:rPr>
          <w:lang w:val="en-GB"/>
        </w:rPr>
      </w:pPr>
      <w:r>
        <w:rPr>
          <w:lang w:val="en-US"/>
        </w:rPr>
        <w:t>228.</w:t>
      </w:r>
      <w:r>
        <w:rPr>
          <w:lang w:val="en-US"/>
        </w:rPr>
        <w:tab/>
      </w:r>
      <w:r w:rsidR="005B2D35" w:rsidRPr="005B2D35">
        <w:rPr>
          <w:lang w:val="en-US"/>
        </w:rPr>
        <w:t>In Greece, as in the other member states of the European Union, progress as to combating poverty and social exclusion may be assessed through a list of indicators in the sector of Social Exclusion and Poverty, as agreed upon at a European level</w:t>
      </w:r>
      <w:r w:rsidR="005B2D35" w:rsidRPr="005B2D35">
        <w:rPr>
          <w:lang w:val="en-GB"/>
        </w:rPr>
        <w:t>.</w:t>
      </w:r>
    </w:p>
    <w:p w:rsidR="002148B7" w:rsidRDefault="002148B7" w:rsidP="005B2D35">
      <w:pPr>
        <w:ind w:right="26"/>
        <w:jc w:val="both"/>
        <w:rPr>
          <w:u w:val="single"/>
          <w:lang w:val="en-US"/>
        </w:rPr>
      </w:pPr>
    </w:p>
    <w:p w:rsidR="005B2D35" w:rsidRPr="005B2D35" w:rsidRDefault="005B2D35" w:rsidP="005B2D35">
      <w:pPr>
        <w:ind w:right="26"/>
        <w:jc w:val="both"/>
        <w:rPr>
          <w:u w:val="single"/>
          <w:lang w:val="en-US"/>
        </w:rPr>
      </w:pPr>
      <w:r w:rsidRPr="005B2D35">
        <w:rPr>
          <w:u w:val="single"/>
          <w:lang w:val="en-US"/>
        </w:rPr>
        <w:t>Regarding the absence of poverty line:</w:t>
      </w:r>
    </w:p>
    <w:p w:rsidR="005B2D35" w:rsidRPr="005B2D35" w:rsidRDefault="00E45D1E" w:rsidP="005B2D35">
      <w:pPr>
        <w:ind w:right="26"/>
        <w:jc w:val="both"/>
        <w:rPr>
          <w:lang w:val="en-US"/>
        </w:rPr>
      </w:pPr>
      <w:r>
        <w:rPr>
          <w:lang w:val="en-US"/>
        </w:rPr>
        <w:t>229.</w:t>
      </w:r>
      <w:r>
        <w:rPr>
          <w:lang w:val="en-US"/>
        </w:rPr>
        <w:tab/>
      </w:r>
      <w:r w:rsidR="005B2D35" w:rsidRPr="005B2D35">
        <w:rPr>
          <w:lang w:val="en-US"/>
        </w:rPr>
        <w:t>In Greece, as in the other member states of the European Union, 60% of the ‘national median income’ is normally used in the above-mentioned statistical surveys as the threshold below which a person is considered to be at a risk of poverty</w:t>
      </w:r>
      <w:r w:rsidR="005B2D35" w:rsidRPr="005B2D35">
        <w:rPr>
          <w:rStyle w:val="FootnoteReference"/>
          <w:sz w:val="24"/>
          <w:szCs w:val="24"/>
          <w:lang w:val="en-US"/>
        </w:rPr>
        <w:footnoteReference w:id="7"/>
      </w:r>
      <w:r w:rsidR="005B2D35" w:rsidRPr="005B2D35">
        <w:rPr>
          <w:lang w:val="en-US"/>
        </w:rPr>
        <w:t>. It should be clarified that this limit is used for statistical purposes and should not be confused with corresponding statutory administrative criteria (as the case may be).</w:t>
      </w:r>
    </w:p>
    <w:p w:rsidR="005B2D35" w:rsidRPr="005B2D35" w:rsidRDefault="005B2D35" w:rsidP="005B2D35">
      <w:pPr>
        <w:ind w:right="26"/>
        <w:jc w:val="both"/>
        <w:rPr>
          <w:lang w:val="en-US"/>
        </w:rPr>
      </w:pPr>
    </w:p>
    <w:p w:rsidR="005B2D35" w:rsidRPr="005B2D35" w:rsidRDefault="005B2D35" w:rsidP="005B2D35">
      <w:pPr>
        <w:ind w:right="26"/>
        <w:jc w:val="both"/>
        <w:rPr>
          <w:u w:val="single"/>
          <w:lang w:val="en-US"/>
        </w:rPr>
      </w:pPr>
      <w:r w:rsidRPr="005B2D35">
        <w:rPr>
          <w:u w:val="single"/>
          <w:lang w:val="en-US"/>
        </w:rPr>
        <w:t xml:space="preserve">Targets for combating poverty in </w:t>
      </w:r>
      <w:smartTag w:uri="urn:schemas-microsoft-com:office:smarttags" w:element="country-region">
        <w:smartTag w:uri="urn:schemas-microsoft-com:office:smarttags" w:element="place">
          <w:r w:rsidRPr="005B2D35">
            <w:rPr>
              <w:u w:val="single"/>
              <w:lang w:val="en-US"/>
            </w:rPr>
            <w:t>Greece</w:t>
          </w:r>
        </w:smartTag>
      </w:smartTag>
    </w:p>
    <w:p w:rsidR="005B2D35" w:rsidRDefault="00E45D1E" w:rsidP="005B2D35">
      <w:pPr>
        <w:ind w:right="26"/>
        <w:jc w:val="both"/>
        <w:rPr>
          <w:lang w:val="en-US"/>
        </w:rPr>
      </w:pPr>
      <w:r>
        <w:rPr>
          <w:lang w:val="en-US"/>
        </w:rPr>
        <w:t>230.</w:t>
      </w:r>
      <w:r>
        <w:rPr>
          <w:lang w:val="en-US"/>
        </w:rPr>
        <w:tab/>
      </w:r>
      <w:r w:rsidR="005B2D35" w:rsidRPr="005B2D35">
        <w:rPr>
          <w:lang w:val="en-US"/>
        </w:rPr>
        <w:t>In the framework of the European Strategy EU2020, the European Council (June 2010) confirmed the quantitative target objective of EU for the promotion of social integration and the reduction of poverty. The indicators that are used for the monitoring of the target are a) at-risk-of poverty rate, b) material deprivation rate and c) people living in jobless households.</w:t>
      </w:r>
    </w:p>
    <w:p w:rsidR="00EA19C8" w:rsidRPr="005B2D35" w:rsidRDefault="00EA19C8" w:rsidP="005B2D35">
      <w:pPr>
        <w:ind w:right="26"/>
        <w:jc w:val="both"/>
        <w:rPr>
          <w:lang w:val="en-US"/>
        </w:rPr>
      </w:pPr>
    </w:p>
    <w:p w:rsidR="005B2D35" w:rsidRPr="005B2D35" w:rsidRDefault="00EA19C8" w:rsidP="005B2D35">
      <w:pPr>
        <w:pStyle w:val="BodyText2"/>
        <w:ind w:right="26"/>
        <w:jc w:val="both"/>
        <w:rPr>
          <w:rFonts w:ascii="Times New Roman" w:hAnsi="Times New Roman" w:cs="Times New Roman"/>
          <w:sz w:val="24"/>
          <w:szCs w:val="24"/>
          <w:lang w:val="en-GB"/>
        </w:rPr>
      </w:pPr>
      <w:r>
        <w:rPr>
          <w:rFonts w:ascii="Times New Roman" w:hAnsi="Times New Roman" w:cs="Times New Roman"/>
          <w:sz w:val="24"/>
          <w:szCs w:val="24"/>
          <w:lang w:val="en-GB"/>
        </w:rPr>
        <w:t>231.</w:t>
      </w:r>
      <w:r>
        <w:rPr>
          <w:rFonts w:ascii="Times New Roman" w:hAnsi="Times New Roman" w:cs="Times New Roman"/>
          <w:sz w:val="24"/>
          <w:szCs w:val="24"/>
          <w:lang w:val="en-GB"/>
        </w:rPr>
        <w:tab/>
      </w:r>
      <w:r w:rsidR="005B2D35" w:rsidRPr="005B2D35">
        <w:rPr>
          <w:rFonts w:ascii="Times New Roman" w:hAnsi="Times New Roman" w:cs="Times New Roman"/>
          <w:sz w:val="24"/>
          <w:szCs w:val="24"/>
          <w:lang w:val="en-GB"/>
        </w:rPr>
        <w:t>In the above framework, Greece has set three national targets:</w:t>
      </w:r>
    </w:p>
    <w:p w:rsidR="005B2D35" w:rsidRPr="005B2D35" w:rsidRDefault="005B2D35" w:rsidP="005B2D35">
      <w:pPr>
        <w:pStyle w:val="BodyText2"/>
        <w:numPr>
          <w:ilvl w:val="0"/>
          <w:numId w:val="38"/>
        </w:numPr>
        <w:ind w:right="26"/>
        <w:jc w:val="both"/>
        <w:rPr>
          <w:rFonts w:ascii="Times New Roman" w:hAnsi="Times New Roman" w:cs="Times New Roman"/>
          <w:sz w:val="24"/>
          <w:szCs w:val="24"/>
          <w:lang w:val="en-GB"/>
        </w:rPr>
      </w:pPr>
      <w:r w:rsidRPr="005B2D35">
        <w:rPr>
          <w:rFonts w:ascii="Times New Roman" w:hAnsi="Times New Roman" w:cs="Times New Roman"/>
          <w:sz w:val="24"/>
          <w:szCs w:val="24"/>
          <w:lang w:val="en-GB"/>
        </w:rPr>
        <w:t xml:space="preserve">reducing the number of people at risk of poverty and/or social exclusion by 450.000 by 2020. This is translated into a reduction of the at-risk-of poverty and/or exclusion rate from 28% in 2008 to 24% in 2020. </w:t>
      </w:r>
    </w:p>
    <w:p w:rsidR="005B2D35" w:rsidRPr="005B2D35" w:rsidRDefault="005B2D35" w:rsidP="005B2D35">
      <w:pPr>
        <w:pStyle w:val="BodyText2"/>
        <w:numPr>
          <w:ilvl w:val="0"/>
          <w:numId w:val="38"/>
        </w:numPr>
        <w:ind w:right="26"/>
        <w:jc w:val="both"/>
        <w:rPr>
          <w:rFonts w:ascii="Times New Roman" w:hAnsi="Times New Roman" w:cs="Times New Roman"/>
          <w:dstrike/>
          <w:sz w:val="24"/>
          <w:szCs w:val="24"/>
          <w:lang w:val="en-GB"/>
        </w:rPr>
      </w:pPr>
      <w:r w:rsidRPr="005B2D35">
        <w:rPr>
          <w:rFonts w:ascii="Times New Roman" w:hAnsi="Times New Roman" w:cs="Times New Roman"/>
          <w:sz w:val="24"/>
          <w:szCs w:val="24"/>
          <w:lang w:val="en-GB"/>
        </w:rPr>
        <w:t xml:space="preserve">reducing the number of children and young people (0-17years old) at -risk-of poverty by 100.000 until 2020, which is translated into a reduction of at-risk-of poverty rate for children (0-17) from 23% in 2008 to 18% in 2020. </w:t>
      </w:r>
    </w:p>
    <w:p w:rsidR="005B2D35" w:rsidRPr="005B2D35" w:rsidRDefault="005B2D35" w:rsidP="005B2D35">
      <w:pPr>
        <w:pStyle w:val="BodyText2"/>
        <w:numPr>
          <w:ilvl w:val="0"/>
          <w:numId w:val="38"/>
        </w:numPr>
        <w:ind w:right="26"/>
        <w:jc w:val="both"/>
        <w:rPr>
          <w:rFonts w:ascii="Times New Roman" w:hAnsi="Times New Roman" w:cs="Times New Roman"/>
          <w:dstrike/>
          <w:sz w:val="24"/>
          <w:szCs w:val="24"/>
          <w:lang w:val="en-GB"/>
        </w:rPr>
      </w:pPr>
      <w:r w:rsidRPr="005B2D35">
        <w:rPr>
          <w:rFonts w:ascii="Times New Roman" w:hAnsi="Times New Roman" w:cs="Times New Roman"/>
          <w:sz w:val="24"/>
          <w:szCs w:val="24"/>
          <w:lang w:val="en-GB"/>
        </w:rPr>
        <w:t>building a “social safety net” against social exclusion, which includes access for citizens to basic services, such as medical care, housing and education is a priority, especially during the crisis.</w:t>
      </w:r>
    </w:p>
    <w:p w:rsidR="005B2D35" w:rsidRPr="005B2D35" w:rsidRDefault="005B2D35" w:rsidP="005B2D35">
      <w:pPr>
        <w:ind w:right="26"/>
        <w:jc w:val="both"/>
        <w:rPr>
          <w:u w:val="single"/>
          <w:lang w:val="en-GB"/>
        </w:rPr>
      </w:pPr>
    </w:p>
    <w:p w:rsidR="005B2D35" w:rsidRPr="005B2D35" w:rsidRDefault="005B2D35" w:rsidP="005B2D35">
      <w:pPr>
        <w:ind w:right="26"/>
        <w:jc w:val="both"/>
        <w:rPr>
          <w:u w:val="single"/>
          <w:lang w:val="en-GB"/>
        </w:rPr>
      </w:pPr>
      <w:r w:rsidRPr="005B2D35">
        <w:rPr>
          <w:u w:val="single"/>
          <w:lang w:val="en-GB"/>
        </w:rPr>
        <w:t xml:space="preserve">The situation in </w:t>
      </w:r>
      <w:smartTag w:uri="urn:schemas-microsoft-com:office:smarttags" w:element="country-region">
        <w:smartTag w:uri="urn:schemas-microsoft-com:office:smarttags" w:element="place">
          <w:r w:rsidRPr="005B2D35">
            <w:rPr>
              <w:u w:val="single"/>
              <w:lang w:val="en-GB"/>
            </w:rPr>
            <w:t>Greece</w:t>
          </w:r>
        </w:smartTag>
      </w:smartTag>
      <w:r w:rsidRPr="005B2D35">
        <w:rPr>
          <w:u w:val="single"/>
          <w:lang w:val="en-GB"/>
        </w:rPr>
        <w:t xml:space="preserve"> – Statistical Evaluation</w:t>
      </w:r>
    </w:p>
    <w:p w:rsidR="005B2D35" w:rsidRPr="005B2D35" w:rsidRDefault="00EA19C8" w:rsidP="005B2D35">
      <w:pPr>
        <w:autoSpaceDE w:val="0"/>
        <w:autoSpaceDN w:val="0"/>
        <w:adjustRightInd w:val="0"/>
        <w:jc w:val="both"/>
        <w:rPr>
          <w:lang w:val="en-GB"/>
        </w:rPr>
      </w:pPr>
      <w:r>
        <w:rPr>
          <w:lang w:val="en-GB"/>
        </w:rPr>
        <w:lastRenderedPageBreak/>
        <w:t>232.</w:t>
      </w:r>
      <w:r>
        <w:rPr>
          <w:lang w:val="en-GB"/>
        </w:rPr>
        <w:tab/>
      </w:r>
      <w:r w:rsidR="005B2D35" w:rsidRPr="005B2D35">
        <w:rPr>
          <w:lang w:val="en-GB"/>
        </w:rPr>
        <w:t xml:space="preserve">On the basis of available statistical data, no major changes are observed for in the recent years. Nevertheless, austerity measures may have a negative impact on poverty and social exclusion, even if it is not yet reflected in the existing data. </w:t>
      </w:r>
    </w:p>
    <w:p w:rsidR="005B2D35" w:rsidRPr="005B2D35" w:rsidRDefault="005B2D35" w:rsidP="005B2D35">
      <w:pPr>
        <w:ind w:right="26"/>
        <w:jc w:val="both"/>
        <w:rPr>
          <w:lang w:val="en-GB"/>
        </w:rPr>
      </w:pPr>
    </w:p>
    <w:p w:rsidR="005B2D35" w:rsidRPr="005B2D35" w:rsidRDefault="00EA19C8" w:rsidP="005B2D35">
      <w:pPr>
        <w:ind w:right="26"/>
        <w:jc w:val="both"/>
        <w:rPr>
          <w:rStyle w:val="at2"/>
          <w:bCs/>
          <w:color w:val="222222"/>
          <w:shd w:val="clear" w:color="auto" w:fill="FFFFFF"/>
          <w:lang w:val="en-GB"/>
        </w:rPr>
      </w:pPr>
      <w:r>
        <w:rPr>
          <w:lang w:val="en-GB"/>
        </w:rPr>
        <w:t>233.</w:t>
      </w:r>
      <w:r>
        <w:rPr>
          <w:lang w:val="en-GB"/>
        </w:rPr>
        <w:tab/>
      </w:r>
      <w:r w:rsidR="005B2D35" w:rsidRPr="005B2D35">
        <w:rPr>
          <w:lang w:val="en-GB"/>
        </w:rPr>
        <w:t xml:space="preserve">The last available statistical data show that the </w:t>
      </w:r>
      <w:r w:rsidR="005B2D35" w:rsidRPr="005B2D35">
        <w:rPr>
          <w:i/>
          <w:lang w:val="en-GB"/>
        </w:rPr>
        <w:t>poverty risk</w:t>
      </w:r>
      <w:r w:rsidR="005B2D35" w:rsidRPr="005B2D35">
        <w:rPr>
          <w:lang w:val="en-GB"/>
        </w:rPr>
        <w:t xml:space="preserve"> in Greece in 2010 is</w:t>
      </w:r>
      <w:r w:rsidR="005B2D35" w:rsidRPr="005B2D35">
        <w:rPr>
          <w:u w:val="dash"/>
          <w:lang w:val="en-GB"/>
        </w:rPr>
        <w:t xml:space="preserve"> 20.1% [</w:t>
      </w:r>
      <w:r w:rsidR="005B2D35" w:rsidRPr="005B2D35">
        <w:rPr>
          <w:lang w:val="en-GB"/>
        </w:rPr>
        <w:t>19.7% in 2009, 20.1% in 2008 and 20.3% in 2007] in comparison to 16.4% in EU-27/</w:t>
      </w:r>
      <w:r w:rsidR="005B2D35" w:rsidRPr="005B2D35">
        <w:rPr>
          <w:i/>
          <w:lang w:val="en-GB"/>
        </w:rPr>
        <w:t>[</w:t>
      </w:r>
      <w:r w:rsidR="005B2D35" w:rsidRPr="007774C8">
        <w:rPr>
          <w:lang w:val="en-GB"/>
        </w:rPr>
        <w:t>Annex</w:t>
      </w:r>
      <w:r w:rsidR="007774C8">
        <w:rPr>
          <w:lang w:val="en-GB"/>
        </w:rPr>
        <w:t xml:space="preserve"> 2</w:t>
      </w:r>
      <w:r w:rsidR="005B2D35" w:rsidRPr="005B2D35">
        <w:rPr>
          <w:lang w:val="en-GB"/>
        </w:rPr>
        <w:t xml:space="preserve">, </w:t>
      </w:r>
      <w:r w:rsidR="005B2D35" w:rsidRPr="005B2D35">
        <w:rPr>
          <w:i/>
          <w:lang w:val="en-GB"/>
        </w:rPr>
        <w:t>Table 5]</w:t>
      </w:r>
      <w:r w:rsidR="005B2D35" w:rsidRPr="005B2D35">
        <w:rPr>
          <w:lang w:val="en-GB"/>
        </w:rPr>
        <w:t xml:space="preserve">. Moreover, the </w:t>
      </w:r>
      <w:r w:rsidR="005B2D35" w:rsidRPr="005B2D35">
        <w:rPr>
          <w:i/>
          <w:color w:val="000000"/>
          <w:shd w:val="clear" w:color="auto" w:fill="FCFCFC"/>
          <w:lang w:val="en-GB"/>
        </w:rPr>
        <w:t>relative poverty gap</w:t>
      </w:r>
      <w:r w:rsidR="005B2D35" w:rsidRPr="005B2D35">
        <w:rPr>
          <w:rStyle w:val="FootnoteReference"/>
          <w:sz w:val="24"/>
          <w:szCs w:val="24"/>
          <w:lang w:val="en-GB"/>
        </w:rPr>
        <w:footnoteReference w:id="8"/>
      </w:r>
      <w:r w:rsidR="005B2D35" w:rsidRPr="005B2D35">
        <w:rPr>
          <w:lang w:val="en-GB"/>
        </w:rPr>
        <w:t xml:space="preserve"> is </w:t>
      </w:r>
      <w:r w:rsidR="005B2D35" w:rsidRPr="005B2D35">
        <w:rPr>
          <w:u w:val="dash"/>
          <w:lang w:val="en-GB"/>
        </w:rPr>
        <w:t>23.4%</w:t>
      </w:r>
      <w:r w:rsidR="005B2D35" w:rsidRPr="005B2D35">
        <w:rPr>
          <w:lang w:val="en-GB"/>
        </w:rPr>
        <w:t xml:space="preserve"> in 2010</w:t>
      </w:r>
      <w:r w:rsidR="005B2D35" w:rsidRPr="005B2D35">
        <w:rPr>
          <w:i/>
          <w:lang w:val="en-GB"/>
        </w:rPr>
        <w:t>[</w:t>
      </w:r>
      <w:r w:rsidR="007774C8">
        <w:rPr>
          <w:lang w:val="en-GB"/>
        </w:rPr>
        <w:t xml:space="preserve">Annex 2, </w:t>
      </w:r>
      <w:r w:rsidR="005B2D35" w:rsidRPr="005B2D35">
        <w:rPr>
          <w:i/>
          <w:lang w:val="en-GB"/>
        </w:rPr>
        <w:t>Table 10]</w:t>
      </w:r>
      <w:r w:rsidR="005B2D35" w:rsidRPr="005B2D35">
        <w:rPr>
          <w:lang w:val="en-GB"/>
        </w:rPr>
        <w:t xml:space="preserve"> in comparison to 23.1% in EU-27. As far as it concerns the people at </w:t>
      </w:r>
      <w:r w:rsidR="005B2D35" w:rsidRPr="005B2D35">
        <w:rPr>
          <w:i/>
          <w:lang w:val="en-GB"/>
        </w:rPr>
        <w:t xml:space="preserve">poverty risk or social exclusion </w:t>
      </w:r>
      <w:r w:rsidR="005B2D35" w:rsidRPr="005B2D35">
        <w:rPr>
          <w:lang w:val="en-GB"/>
        </w:rPr>
        <w:t>(EU 2020 Target)</w:t>
      </w:r>
      <w:r w:rsidR="005B2D35" w:rsidRPr="005B2D35">
        <w:rPr>
          <w:color w:val="222222"/>
          <w:shd w:val="clear" w:color="auto" w:fill="FFFFFF"/>
          <w:lang w:val="en-GB"/>
        </w:rPr>
        <w:t xml:space="preserve">,the </w:t>
      </w:r>
      <w:r w:rsidR="005B2D35" w:rsidRPr="005B2D35">
        <w:rPr>
          <w:u w:val="dash"/>
          <w:lang w:val="en-GB"/>
        </w:rPr>
        <w:t>27,7%</w:t>
      </w:r>
      <w:r w:rsidR="005B2D35" w:rsidRPr="005B2D35">
        <w:rPr>
          <w:lang w:val="en-GB"/>
        </w:rPr>
        <w:t xml:space="preserve"> of </w:t>
      </w:r>
      <w:r w:rsidR="005B2D35" w:rsidRPr="005B2D35">
        <w:rPr>
          <w:color w:val="222222"/>
          <w:shd w:val="clear" w:color="auto" w:fill="FFFFFF"/>
          <w:lang w:val="en-GB"/>
        </w:rPr>
        <w:t xml:space="preserve">the population in Greece are at risk of </w:t>
      </w:r>
      <w:r w:rsidR="005B2D35" w:rsidRPr="005B2D35">
        <w:rPr>
          <w:i/>
          <w:color w:val="222222"/>
          <w:shd w:val="clear" w:color="auto" w:fill="FFFFFF"/>
          <w:lang w:val="en-GB"/>
        </w:rPr>
        <w:t>poverty or social exclusion</w:t>
      </w:r>
      <w:r w:rsidR="005B2D35" w:rsidRPr="005B2D35">
        <w:rPr>
          <w:color w:val="222222"/>
          <w:shd w:val="clear" w:color="auto" w:fill="FFFFFF"/>
          <w:lang w:val="en-GB"/>
        </w:rPr>
        <w:t xml:space="preserve"> versus  23.5% of the population in the </w:t>
      </w:r>
      <w:r w:rsidR="005B2D35" w:rsidRPr="005B2D35">
        <w:rPr>
          <w:rStyle w:val="at2"/>
          <w:bCs/>
          <w:color w:val="222222"/>
          <w:shd w:val="clear" w:color="auto" w:fill="FFFFFF"/>
          <w:lang w:val="en-GB"/>
        </w:rPr>
        <w:t>EU27</w:t>
      </w:r>
      <w:r w:rsidR="005B2D35" w:rsidRPr="005B2D35">
        <w:rPr>
          <w:rStyle w:val="at2"/>
          <w:bCs/>
          <w:i/>
          <w:color w:val="222222"/>
          <w:shd w:val="clear" w:color="auto" w:fill="FFFFFF"/>
          <w:lang w:val="en-GB"/>
        </w:rPr>
        <w:t>.[</w:t>
      </w:r>
      <w:r w:rsidR="007774C8">
        <w:rPr>
          <w:rStyle w:val="at2"/>
          <w:bCs/>
          <w:color w:val="222222"/>
          <w:shd w:val="clear" w:color="auto" w:fill="FFFFFF"/>
          <w:lang w:val="en-GB"/>
        </w:rPr>
        <w:t xml:space="preserve">Annex 2, </w:t>
      </w:r>
      <w:r w:rsidR="005B2D35" w:rsidRPr="005B2D35">
        <w:rPr>
          <w:rStyle w:val="at2"/>
          <w:bCs/>
          <w:i/>
          <w:color w:val="222222"/>
          <w:shd w:val="clear" w:color="auto" w:fill="FFFFFF"/>
          <w:lang w:val="en-GB"/>
        </w:rPr>
        <w:t>Table3]</w:t>
      </w:r>
    </w:p>
    <w:p w:rsidR="005B2D35" w:rsidRPr="005B2D35" w:rsidRDefault="005B2D35" w:rsidP="005B2D35">
      <w:pPr>
        <w:ind w:right="26"/>
        <w:jc w:val="both"/>
        <w:rPr>
          <w:rStyle w:val="at2"/>
          <w:bCs/>
          <w:color w:val="222222"/>
          <w:shd w:val="clear" w:color="auto" w:fill="FFFFFF"/>
          <w:lang w:val="en-GB"/>
        </w:rPr>
      </w:pPr>
    </w:p>
    <w:p w:rsidR="005B2D35" w:rsidRPr="005B2D35" w:rsidRDefault="00EA19C8" w:rsidP="005B2D35">
      <w:pPr>
        <w:ind w:right="26"/>
        <w:jc w:val="both"/>
        <w:rPr>
          <w:lang w:val="en-GB"/>
        </w:rPr>
      </w:pPr>
      <w:r>
        <w:rPr>
          <w:lang w:val="en-GB"/>
        </w:rPr>
        <w:t>234.</w:t>
      </w:r>
      <w:r>
        <w:rPr>
          <w:lang w:val="en-GB"/>
        </w:rPr>
        <w:tab/>
      </w:r>
      <w:r w:rsidR="005B2D35" w:rsidRPr="005B2D35">
        <w:rPr>
          <w:lang w:val="en-GB"/>
        </w:rPr>
        <w:t xml:space="preserve">Children aged 0-17 years face a high risk of poverty. </w:t>
      </w:r>
    </w:p>
    <w:p w:rsidR="005B2D35" w:rsidRPr="005B2D35" w:rsidRDefault="005B2D35" w:rsidP="005B2D35">
      <w:pPr>
        <w:ind w:right="26"/>
        <w:jc w:val="both"/>
        <w:rPr>
          <w:lang w:val="en-GB"/>
        </w:rPr>
      </w:pPr>
      <w:r w:rsidRPr="005B2D35">
        <w:rPr>
          <w:lang w:val="en-GB"/>
        </w:rPr>
        <w:t xml:space="preserve">The </w:t>
      </w:r>
      <w:r w:rsidRPr="005B2D35">
        <w:rPr>
          <w:i/>
          <w:lang w:val="en-GB"/>
        </w:rPr>
        <w:t>poverty of children</w:t>
      </w:r>
      <w:r w:rsidRPr="005B2D35">
        <w:rPr>
          <w:lang w:val="en-GB"/>
        </w:rPr>
        <w:t xml:space="preserve"> has increased significantly in comparison to previous years (21,5% in 2003, 20,5% in 2004, 20,4% in 2005, 22,6% in 2006)</w:t>
      </w:r>
      <w:r w:rsidRPr="005B2D35">
        <w:rPr>
          <w:i/>
          <w:lang w:val="en-GB"/>
        </w:rPr>
        <w:t>[</w:t>
      </w:r>
      <w:r w:rsidR="007774C8">
        <w:rPr>
          <w:lang w:val="en-GB"/>
        </w:rPr>
        <w:t xml:space="preserve">Annex 2, </w:t>
      </w:r>
      <w:r w:rsidRPr="005B2D35">
        <w:rPr>
          <w:i/>
          <w:lang w:val="en-GB"/>
        </w:rPr>
        <w:t>Table 9]</w:t>
      </w:r>
      <w:r w:rsidRPr="005B2D35">
        <w:rPr>
          <w:lang w:val="en-GB"/>
        </w:rPr>
        <w:t xml:space="preserve">. For age group 0-17 years the percentage of poverty risk is 23% in 2008, 23,7% in 2009 and  </w:t>
      </w:r>
      <w:r w:rsidRPr="005B2D35">
        <w:rPr>
          <w:u w:val="dash"/>
          <w:lang w:val="en-GB"/>
        </w:rPr>
        <w:t xml:space="preserve">23% </w:t>
      </w:r>
      <w:r w:rsidRPr="005B2D35">
        <w:rPr>
          <w:lang w:val="en-GB"/>
        </w:rPr>
        <w:t xml:space="preserve">in 2010 while the percentage of children </w:t>
      </w:r>
      <w:r w:rsidRPr="005B2D35">
        <w:rPr>
          <w:i/>
          <w:lang w:val="en-GB"/>
        </w:rPr>
        <w:t>at risk of poverty/or social exclusion</w:t>
      </w:r>
      <w:r w:rsidRPr="005B2D35">
        <w:rPr>
          <w:lang w:val="en-GB"/>
        </w:rPr>
        <w:t xml:space="preserve">  is 28.7% in 2008, 30.0% in 2009 and  </w:t>
      </w:r>
      <w:r w:rsidRPr="005B2D35">
        <w:rPr>
          <w:u w:val="dash"/>
          <w:lang w:val="en-GB"/>
        </w:rPr>
        <w:t xml:space="preserve">28.7% </w:t>
      </w:r>
      <w:r w:rsidRPr="005B2D35">
        <w:rPr>
          <w:lang w:val="en-GB"/>
        </w:rPr>
        <w:t>in 2010.</w:t>
      </w:r>
      <w:r w:rsidRPr="005B2D35">
        <w:rPr>
          <w:i/>
          <w:lang w:val="en-GB"/>
        </w:rPr>
        <w:t>[</w:t>
      </w:r>
      <w:r w:rsidR="007774C8">
        <w:rPr>
          <w:lang w:val="en-GB"/>
        </w:rPr>
        <w:t xml:space="preserve">Annex 2, </w:t>
      </w:r>
      <w:r w:rsidRPr="005B2D35">
        <w:rPr>
          <w:i/>
          <w:lang w:val="en-GB"/>
        </w:rPr>
        <w:t xml:space="preserve">Table 4] </w:t>
      </w:r>
      <w:r w:rsidRPr="005B2D35">
        <w:rPr>
          <w:lang w:val="en-GB"/>
        </w:rPr>
        <w:t xml:space="preserve">As far as the child poverty is concerned, it should be mentioned that the majority of the poor children live in working poor households, while at the same time the number of poor children living in jobless households is increasing. </w:t>
      </w:r>
    </w:p>
    <w:p w:rsidR="005B2D35" w:rsidRPr="005B2D35" w:rsidRDefault="005B2D35" w:rsidP="005B2D35">
      <w:pPr>
        <w:ind w:right="26"/>
        <w:jc w:val="both"/>
        <w:rPr>
          <w:lang w:val="en-GB"/>
        </w:rPr>
      </w:pPr>
    </w:p>
    <w:p w:rsidR="005B2D35" w:rsidRPr="005B2D35" w:rsidRDefault="00EA19C8" w:rsidP="005B2D35">
      <w:pPr>
        <w:ind w:right="26"/>
        <w:jc w:val="both"/>
        <w:rPr>
          <w:lang w:val="en-GB"/>
        </w:rPr>
      </w:pPr>
      <w:r>
        <w:rPr>
          <w:lang w:val="en-GB"/>
        </w:rPr>
        <w:t>235.</w:t>
      </w:r>
      <w:r>
        <w:rPr>
          <w:lang w:val="en-GB"/>
        </w:rPr>
        <w:tab/>
      </w:r>
      <w:r w:rsidR="005B2D35" w:rsidRPr="005B2D35">
        <w:rPr>
          <w:lang w:val="en-GB"/>
        </w:rPr>
        <w:t xml:space="preserve">Another crucial aspect is the percentage of the </w:t>
      </w:r>
      <w:r w:rsidR="005B2D35" w:rsidRPr="005B2D35">
        <w:rPr>
          <w:i/>
          <w:lang w:val="en-GB"/>
        </w:rPr>
        <w:t>poor workers</w:t>
      </w:r>
      <w:r w:rsidR="005B2D35" w:rsidRPr="005B2D35">
        <w:rPr>
          <w:lang w:val="en-GB"/>
        </w:rPr>
        <w:t xml:space="preserve">, who constitute </w:t>
      </w:r>
      <w:r w:rsidR="005B2D35" w:rsidRPr="005B2D35">
        <w:rPr>
          <w:u w:val="dash"/>
          <w:lang w:val="en-GB"/>
        </w:rPr>
        <w:t>13.8%</w:t>
      </w:r>
      <w:r w:rsidR="005B2D35" w:rsidRPr="005B2D35">
        <w:rPr>
          <w:i/>
          <w:lang w:val="en-GB"/>
        </w:rPr>
        <w:t xml:space="preserve"> </w:t>
      </w:r>
      <w:r w:rsidR="005B2D35" w:rsidRPr="005B2D35">
        <w:rPr>
          <w:lang w:val="en-GB"/>
        </w:rPr>
        <w:t xml:space="preserve">of the total population, 10.2% being women and 16.4% men. </w:t>
      </w:r>
      <w:r w:rsidR="005B2D35" w:rsidRPr="005B2D35">
        <w:rPr>
          <w:i/>
          <w:lang w:val="en-GB"/>
        </w:rPr>
        <w:t>[</w:t>
      </w:r>
      <w:r w:rsidR="007774C8">
        <w:rPr>
          <w:lang w:val="en-GB"/>
        </w:rPr>
        <w:t xml:space="preserve">Annex 2, </w:t>
      </w:r>
      <w:r w:rsidR="005B2D35" w:rsidRPr="005B2D35">
        <w:rPr>
          <w:i/>
          <w:lang w:val="en-GB"/>
        </w:rPr>
        <w:t>Table 14].</w:t>
      </w:r>
      <w:r w:rsidR="005B2D35" w:rsidRPr="005B2D35">
        <w:rPr>
          <w:lang w:val="en-GB"/>
        </w:rPr>
        <w:t xml:space="preserve"> No major change has been observed in the last decade Moreover, if we take into consideration that the main reason for the existence of poor children is parents’ poverty, it is not possible to achieve a significant reduction of poverty in </w:t>
      </w:r>
      <w:smartTag w:uri="urn:schemas-microsoft-com:office:smarttags" w:element="country-region">
        <w:smartTag w:uri="urn:schemas-microsoft-com:office:smarttags" w:element="place">
          <w:r w:rsidR="005B2D35" w:rsidRPr="005B2D35">
            <w:rPr>
              <w:lang w:val="en-GB"/>
            </w:rPr>
            <w:t>Greece</w:t>
          </w:r>
        </w:smartTag>
      </w:smartTag>
      <w:r w:rsidR="005B2D35" w:rsidRPr="005B2D35">
        <w:rPr>
          <w:lang w:val="en-GB"/>
        </w:rPr>
        <w:t xml:space="preserve"> without dealing with workers’ poverty. </w:t>
      </w:r>
    </w:p>
    <w:p w:rsidR="005B2D35" w:rsidRPr="005B2D35" w:rsidRDefault="005B2D35" w:rsidP="005B2D35">
      <w:pPr>
        <w:ind w:right="26"/>
        <w:jc w:val="both"/>
        <w:rPr>
          <w:lang w:val="en-GB"/>
        </w:rPr>
      </w:pPr>
    </w:p>
    <w:p w:rsidR="005B2D35" w:rsidRPr="005B2D35" w:rsidRDefault="00EA19C8" w:rsidP="005B2D35">
      <w:pPr>
        <w:ind w:right="26"/>
        <w:jc w:val="both"/>
        <w:rPr>
          <w:lang w:val="en-GB"/>
        </w:rPr>
      </w:pPr>
      <w:r w:rsidRPr="00EA19C8">
        <w:rPr>
          <w:lang w:val="en-GB"/>
        </w:rPr>
        <w:t>236</w:t>
      </w:r>
      <w:r>
        <w:rPr>
          <w:i/>
          <w:lang w:val="en-GB"/>
        </w:rPr>
        <w:t>.</w:t>
      </w:r>
      <w:r>
        <w:rPr>
          <w:i/>
          <w:lang w:val="en-GB"/>
        </w:rPr>
        <w:tab/>
      </w:r>
      <w:r w:rsidR="005B2D35" w:rsidRPr="005B2D35">
        <w:rPr>
          <w:i/>
          <w:lang w:val="en-GB"/>
        </w:rPr>
        <w:t>Unemployed persons</w:t>
      </w:r>
      <w:r w:rsidR="005B2D35" w:rsidRPr="005B2D35">
        <w:rPr>
          <w:lang w:val="en-GB"/>
        </w:rPr>
        <w:t xml:space="preserve"> (</w:t>
      </w:r>
      <w:r w:rsidR="005B2D35" w:rsidRPr="005B2D35">
        <w:rPr>
          <w:u w:val="dash"/>
          <w:lang w:val="en-GB"/>
        </w:rPr>
        <w:t>38,5%</w:t>
      </w:r>
      <w:r w:rsidR="005B2D35" w:rsidRPr="005B2D35">
        <w:rPr>
          <w:lang w:val="en-GB"/>
        </w:rPr>
        <w:t xml:space="preserve"> in 2010) face a high poverty risk, which has substantially increased since 2006 </w:t>
      </w:r>
      <w:r w:rsidR="005B2D35" w:rsidRPr="005B2D35">
        <w:rPr>
          <w:i/>
          <w:lang w:val="en-GB"/>
        </w:rPr>
        <w:t>[</w:t>
      </w:r>
      <w:r w:rsidR="007774C8">
        <w:rPr>
          <w:lang w:val="en-GB"/>
        </w:rPr>
        <w:t xml:space="preserve">Annex 2, </w:t>
      </w:r>
      <w:r w:rsidR="005B2D35" w:rsidRPr="005B2D35">
        <w:rPr>
          <w:i/>
          <w:lang w:val="en-GB"/>
        </w:rPr>
        <w:t>Table 12].</w:t>
      </w:r>
    </w:p>
    <w:p w:rsidR="005B2D35" w:rsidRPr="005B2D35" w:rsidRDefault="005B2D35" w:rsidP="005B2D35">
      <w:pPr>
        <w:ind w:right="26"/>
        <w:jc w:val="both"/>
        <w:rPr>
          <w:lang w:val="en-GB"/>
        </w:rPr>
      </w:pPr>
    </w:p>
    <w:p w:rsidR="005B2D35" w:rsidRPr="005B2D35" w:rsidRDefault="00EA19C8" w:rsidP="005B2D35">
      <w:pPr>
        <w:ind w:right="26"/>
        <w:jc w:val="both"/>
        <w:rPr>
          <w:lang w:val="en-GB"/>
        </w:rPr>
      </w:pPr>
      <w:r>
        <w:rPr>
          <w:lang w:val="en-GB"/>
        </w:rPr>
        <w:t>237.</w:t>
      </w:r>
      <w:r>
        <w:rPr>
          <w:lang w:val="en-GB"/>
        </w:rPr>
        <w:tab/>
      </w:r>
      <w:r w:rsidR="005B2D35" w:rsidRPr="005B2D35">
        <w:rPr>
          <w:lang w:val="en-GB"/>
        </w:rPr>
        <w:t xml:space="preserve">Old age is still one of the aggravating factors of poverty risk in Greece. For people </w:t>
      </w:r>
      <w:r w:rsidR="005B2D35" w:rsidRPr="005B2D35">
        <w:rPr>
          <w:i/>
          <w:lang w:val="en-GB"/>
        </w:rPr>
        <w:t>aged 65+,</w:t>
      </w:r>
      <w:r w:rsidR="005B2D35" w:rsidRPr="005B2D35">
        <w:rPr>
          <w:lang w:val="en-GB"/>
        </w:rPr>
        <w:t xml:space="preserve"> the poverty risk is </w:t>
      </w:r>
      <w:r w:rsidR="005B2D35" w:rsidRPr="005B2D35">
        <w:rPr>
          <w:u w:val="dash"/>
          <w:lang w:val="en-GB"/>
        </w:rPr>
        <w:t xml:space="preserve">21.3% </w:t>
      </w:r>
      <w:r w:rsidR="005B2D35" w:rsidRPr="005B2D35">
        <w:rPr>
          <w:lang w:val="en-GB"/>
        </w:rPr>
        <w:t>in 2010/</w:t>
      </w:r>
      <w:r w:rsidR="005B2D35" w:rsidRPr="005B2D35">
        <w:rPr>
          <w:i/>
          <w:lang w:val="en-GB"/>
        </w:rPr>
        <w:t>[</w:t>
      </w:r>
      <w:r w:rsidR="007774C8">
        <w:rPr>
          <w:lang w:val="en-GB"/>
        </w:rPr>
        <w:t xml:space="preserve">Annex 2, </w:t>
      </w:r>
      <w:r w:rsidR="005B2D35" w:rsidRPr="005B2D35">
        <w:rPr>
          <w:i/>
          <w:lang w:val="en-GB"/>
        </w:rPr>
        <w:t xml:space="preserve">Table 6] </w:t>
      </w:r>
      <w:r w:rsidR="005B2D35" w:rsidRPr="005B2D35">
        <w:rPr>
          <w:lang w:val="en-GB"/>
        </w:rPr>
        <w:t xml:space="preserve">while </w:t>
      </w:r>
      <w:r w:rsidR="005B2D35" w:rsidRPr="005B2D35">
        <w:rPr>
          <w:i/>
          <w:lang w:val="en-GB"/>
        </w:rPr>
        <w:t xml:space="preserve">for pensioners </w:t>
      </w:r>
      <w:r w:rsidR="005B2D35" w:rsidRPr="005B2D35">
        <w:rPr>
          <w:lang w:val="en-GB"/>
        </w:rPr>
        <w:t>the rate is slightly lower (</w:t>
      </w:r>
      <w:r w:rsidR="005B2D35" w:rsidRPr="005B2D35">
        <w:rPr>
          <w:u w:val="dash"/>
          <w:lang w:val="en-GB"/>
        </w:rPr>
        <w:t>19%</w:t>
      </w:r>
      <w:r w:rsidR="005B2D35" w:rsidRPr="005B2D35">
        <w:rPr>
          <w:lang w:val="en-GB"/>
        </w:rPr>
        <w:t xml:space="preserve"> in 2010)/</w:t>
      </w:r>
      <w:r w:rsidR="005B2D35" w:rsidRPr="005B2D35">
        <w:rPr>
          <w:i/>
          <w:lang w:val="en-GB"/>
        </w:rPr>
        <w:t>[</w:t>
      </w:r>
      <w:r w:rsidR="007774C8">
        <w:rPr>
          <w:lang w:val="en-GB"/>
        </w:rPr>
        <w:t xml:space="preserve">Annex 2, </w:t>
      </w:r>
      <w:r w:rsidR="005B2D35" w:rsidRPr="005B2D35">
        <w:rPr>
          <w:i/>
          <w:lang w:val="en-GB"/>
        </w:rPr>
        <w:t>Table 12]</w:t>
      </w:r>
      <w:r w:rsidR="00771ADA">
        <w:rPr>
          <w:lang w:val="en-GB"/>
        </w:rPr>
        <w:t xml:space="preserve">. </w:t>
      </w:r>
      <w:r w:rsidR="005B2D35" w:rsidRPr="005B2D35">
        <w:rPr>
          <w:lang w:val="en-GB"/>
        </w:rPr>
        <w:t xml:space="preserve">However, this rate presents a gradual decrease (25,6% in 2006, 22,9% in 2007, 22.3% in 2008, 21,4% in 2009) and this may be due to the progress achieved over the last years with respect to income support of the elderly. We should note that gender is a very aggravating factor for older women, 23,3% versus 18,8% (in 2010) of poverty risk for men. </w:t>
      </w:r>
    </w:p>
    <w:p w:rsidR="005B2D35" w:rsidRPr="005B2D35" w:rsidRDefault="005B2D35" w:rsidP="005B2D35">
      <w:pPr>
        <w:ind w:right="26"/>
        <w:jc w:val="both"/>
        <w:rPr>
          <w:lang w:val="en-GB"/>
        </w:rPr>
      </w:pPr>
    </w:p>
    <w:p w:rsidR="005B2D35" w:rsidRPr="005B2D35" w:rsidRDefault="00EA19C8" w:rsidP="005B2D35">
      <w:pPr>
        <w:autoSpaceDE w:val="0"/>
        <w:autoSpaceDN w:val="0"/>
        <w:adjustRightInd w:val="0"/>
        <w:jc w:val="both"/>
        <w:rPr>
          <w:lang w:val="en-GB"/>
        </w:rPr>
      </w:pPr>
      <w:r>
        <w:rPr>
          <w:lang w:val="en-GB"/>
        </w:rPr>
        <w:t>238.</w:t>
      </w:r>
      <w:r>
        <w:rPr>
          <w:lang w:val="en-GB"/>
        </w:rPr>
        <w:tab/>
      </w:r>
      <w:r w:rsidR="005B2D35" w:rsidRPr="005B2D35">
        <w:rPr>
          <w:lang w:val="en-GB"/>
        </w:rPr>
        <w:t xml:space="preserve">The limited effectiveness and efficiency of </w:t>
      </w:r>
      <w:r w:rsidR="005B2D35" w:rsidRPr="005B2D35">
        <w:rPr>
          <w:i/>
          <w:lang w:val="en-GB"/>
        </w:rPr>
        <w:t>social transfers</w:t>
      </w:r>
      <w:r w:rsidR="005B2D35" w:rsidRPr="005B2D35">
        <w:rPr>
          <w:lang w:val="en-GB"/>
        </w:rPr>
        <w:t xml:space="preserve"> other than pensions also constitutes a major issue. The </w:t>
      </w:r>
      <w:r w:rsidR="005B2D35" w:rsidRPr="005B2D35">
        <w:rPr>
          <w:bCs/>
          <w:iCs/>
          <w:lang w:val="en-GB"/>
        </w:rPr>
        <w:t xml:space="preserve">at-risk-of-poverty rate </w:t>
      </w:r>
      <w:r w:rsidR="005B2D35" w:rsidRPr="005B2D35">
        <w:rPr>
          <w:bCs/>
          <w:iCs/>
          <w:u w:val="dash"/>
          <w:lang w:val="en-GB"/>
        </w:rPr>
        <w:t>before social transfers other than pensions</w:t>
      </w:r>
      <w:r w:rsidR="005B2D35" w:rsidRPr="005B2D35">
        <w:rPr>
          <w:u w:val="dash"/>
          <w:lang w:val="en-GB"/>
        </w:rPr>
        <w:t xml:space="preserve"> is 23.8</w:t>
      </w:r>
      <w:r w:rsidR="005B2D35" w:rsidRPr="005B2D35">
        <w:rPr>
          <w:u w:val="dash"/>
          <w:lang w:val="en-US"/>
        </w:rPr>
        <w:t>%</w:t>
      </w:r>
      <w:r w:rsidR="00174FB1">
        <w:rPr>
          <w:u w:val="dash"/>
          <w:lang w:val="en-US"/>
        </w:rPr>
        <w:t xml:space="preserve"> </w:t>
      </w:r>
      <w:r w:rsidR="005B2D35" w:rsidRPr="005B2D35">
        <w:rPr>
          <w:i/>
          <w:lang w:val="en-US"/>
        </w:rPr>
        <w:t>[</w:t>
      </w:r>
      <w:r w:rsidR="007774C8" w:rsidRPr="007774C8">
        <w:rPr>
          <w:lang w:val="en-US"/>
        </w:rPr>
        <w:t xml:space="preserve">Annex 2, </w:t>
      </w:r>
      <w:r w:rsidR="005B2D35" w:rsidRPr="005B2D35">
        <w:rPr>
          <w:i/>
          <w:lang w:val="en-US"/>
        </w:rPr>
        <w:t>Table 8]</w:t>
      </w:r>
      <w:r w:rsidR="00174FB1">
        <w:rPr>
          <w:lang w:val="en-GB"/>
        </w:rPr>
        <w:t xml:space="preserve"> </w:t>
      </w:r>
      <w:r w:rsidR="005B2D35" w:rsidRPr="005B2D35">
        <w:rPr>
          <w:lang w:val="en-US"/>
        </w:rPr>
        <w:t xml:space="preserve">while the </w:t>
      </w:r>
      <w:r w:rsidR="005B2D35" w:rsidRPr="005B2D35">
        <w:rPr>
          <w:lang w:val="en-GB"/>
        </w:rPr>
        <w:t>at-risk-of poverty rate</w:t>
      </w:r>
      <w:r w:rsidR="005B2D35" w:rsidRPr="005B2D35">
        <w:rPr>
          <w:color w:val="000000"/>
          <w:lang w:val="en-GB"/>
        </w:rPr>
        <w:t xml:space="preserve"> after social transfers is </w:t>
      </w:r>
      <w:r w:rsidR="005B2D35" w:rsidRPr="005B2D35">
        <w:rPr>
          <w:u w:val="dash"/>
          <w:lang w:val="en-GB"/>
        </w:rPr>
        <w:t>20.1%</w:t>
      </w:r>
      <w:r w:rsidR="005B2D35" w:rsidRPr="005B2D35">
        <w:rPr>
          <w:lang w:val="en-US"/>
        </w:rPr>
        <w:t xml:space="preserve"> (in 2010) </w:t>
      </w:r>
      <w:r w:rsidR="005B2D35" w:rsidRPr="005B2D35">
        <w:rPr>
          <w:i/>
          <w:lang w:val="en-US"/>
        </w:rPr>
        <w:t>[</w:t>
      </w:r>
      <w:r w:rsidR="007774C8">
        <w:rPr>
          <w:lang w:val="en-US"/>
        </w:rPr>
        <w:t xml:space="preserve">Annex 2, </w:t>
      </w:r>
      <w:r w:rsidR="005B2D35" w:rsidRPr="005B2D35">
        <w:rPr>
          <w:i/>
          <w:lang w:val="en-US"/>
        </w:rPr>
        <w:t>Table 6]</w:t>
      </w:r>
      <w:r w:rsidR="005B2D35" w:rsidRPr="005B2D35">
        <w:rPr>
          <w:lang w:val="en-GB"/>
        </w:rPr>
        <w:t xml:space="preserve">. Nevertheless, it should be </w:t>
      </w:r>
      <w:r w:rsidR="005B2D35" w:rsidRPr="005B2D35">
        <w:rPr>
          <w:lang w:val="en-GB"/>
        </w:rPr>
        <w:lastRenderedPageBreak/>
        <w:t>stressed that social transfers in the form of pensions for people age 65+ are quite redistributive in Greece:</w:t>
      </w:r>
      <w:r w:rsidR="00174FB1">
        <w:rPr>
          <w:lang w:val="en-GB"/>
        </w:rPr>
        <w:t xml:space="preserve"> pensions reduce </w:t>
      </w:r>
      <w:r w:rsidR="005B2D35" w:rsidRPr="005B2D35">
        <w:rPr>
          <w:lang w:val="en-GB"/>
        </w:rPr>
        <w:t>the poverty rate by 19 percentage points /from 42.8</w:t>
      </w:r>
      <w:r w:rsidR="005B2D35" w:rsidRPr="005B2D35">
        <w:rPr>
          <w:lang w:val="en-US"/>
        </w:rPr>
        <w:t xml:space="preserve">% </w:t>
      </w:r>
      <w:r w:rsidR="005B2D35" w:rsidRPr="005B2D35">
        <w:rPr>
          <w:bCs/>
          <w:iCs/>
          <w:lang w:val="en-GB"/>
        </w:rPr>
        <w:t xml:space="preserve">before all social transfers including pensions to </w:t>
      </w:r>
      <w:r w:rsidR="005B2D35" w:rsidRPr="005B2D35">
        <w:rPr>
          <w:lang w:val="en-GB"/>
        </w:rPr>
        <w:t>23.8</w:t>
      </w:r>
      <w:r w:rsidR="00174FB1">
        <w:rPr>
          <w:lang w:val="en-US"/>
        </w:rPr>
        <w:t xml:space="preserve">% </w:t>
      </w:r>
      <w:r w:rsidR="005B2D35" w:rsidRPr="005B2D35">
        <w:rPr>
          <w:bCs/>
          <w:iCs/>
          <w:lang w:val="en-GB"/>
        </w:rPr>
        <w:t>before social transfers other than pensions</w:t>
      </w:r>
      <w:r w:rsidR="00174FB1">
        <w:rPr>
          <w:bCs/>
          <w:iCs/>
          <w:lang w:val="en-GB"/>
        </w:rPr>
        <w:t xml:space="preserve"> </w:t>
      </w:r>
      <w:r w:rsidR="005B2D35" w:rsidRPr="005B2D35">
        <w:rPr>
          <w:bCs/>
          <w:i/>
          <w:iCs/>
          <w:lang w:val="en-GB"/>
        </w:rPr>
        <w:t>[</w:t>
      </w:r>
      <w:r w:rsidR="007774C8">
        <w:rPr>
          <w:bCs/>
          <w:iCs/>
          <w:lang w:val="en-GB"/>
        </w:rPr>
        <w:t xml:space="preserve">Annex 2, </w:t>
      </w:r>
      <w:r w:rsidR="005B2D35" w:rsidRPr="005B2D35">
        <w:rPr>
          <w:bCs/>
          <w:i/>
          <w:iCs/>
          <w:lang w:val="en-GB"/>
        </w:rPr>
        <w:t>Table 7</w:t>
      </w:r>
      <w:r w:rsidR="005B2D35" w:rsidRPr="005B2D35">
        <w:rPr>
          <w:i/>
          <w:lang w:val="en-US"/>
        </w:rPr>
        <w:t>,</w:t>
      </w:r>
      <w:r w:rsidR="00174FB1">
        <w:rPr>
          <w:i/>
          <w:lang w:val="en-US"/>
        </w:rPr>
        <w:t xml:space="preserve"> </w:t>
      </w:r>
      <w:r w:rsidR="005B2D35" w:rsidRPr="005B2D35">
        <w:rPr>
          <w:i/>
          <w:lang w:val="en-US"/>
        </w:rPr>
        <w:t>Table 8]</w:t>
      </w:r>
      <w:r w:rsidR="005B2D35" w:rsidRPr="005B2D35">
        <w:rPr>
          <w:bCs/>
          <w:i/>
          <w:iCs/>
          <w:lang w:val="en-GB"/>
        </w:rPr>
        <w:t>.</w:t>
      </w:r>
    </w:p>
    <w:p w:rsidR="005B2D35" w:rsidRPr="005B2D35" w:rsidRDefault="005B2D35" w:rsidP="005B2D35">
      <w:pPr>
        <w:ind w:right="26"/>
        <w:jc w:val="both"/>
        <w:rPr>
          <w:lang w:val="en-GB"/>
        </w:rPr>
      </w:pPr>
    </w:p>
    <w:p w:rsidR="005B2D35" w:rsidRPr="00EA19C8" w:rsidRDefault="00EA19C8" w:rsidP="005B2D35">
      <w:pPr>
        <w:ind w:right="26"/>
        <w:jc w:val="both"/>
        <w:rPr>
          <w:lang w:val="en-GB"/>
        </w:rPr>
      </w:pPr>
      <w:r>
        <w:rPr>
          <w:lang w:val="en-GB"/>
        </w:rPr>
        <w:t>239.</w:t>
      </w:r>
      <w:r>
        <w:rPr>
          <w:lang w:val="en-GB"/>
        </w:rPr>
        <w:tab/>
      </w:r>
      <w:r w:rsidR="005B2D35" w:rsidRPr="005B2D35">
        <w:rPr>
          <w:lang w:val="en-GB"/>
        </w:rPr>
        <w:t xml:space="preserve">The categories with the highest poverty rates include also </w:t>
      </w:r>
      <w:r w:rsidR="005B2D35" w:rsidRPr="005B2D35">
        <w:rPr>
          <w:i/>
          <w:lang w:val="en-GB"/>
        </w:rPr>
        <w:t>single-parent families</w:t>
      </w:r>
      <w:r w:rsidR="005B2D35" w:rsidRPr="005B2D35">
        <w:rPr>
          <w:lang w:val="en-GB"/>
        </w:rPr>
        <w:t xml:space="preserve">. Poverty risk is </w:t>
      </w:r>
      <w:r w:rsidR="005B2D35" w:rsidRPr="005B2D35">
        <w:rPr>
          <w:u w:val="dash"/>
          <w:lang w:val="en-GB"/>
        </w:rPr>
        <w:t>33,4%</w:t>
      </w:r>
      <w:r w:rsidR="005B2D35" w:rsidRPr="005B2D35">
        <w:rPr>
          <w:lang w:val="en-GB"/>
        </w:rPr>
        <w:t xml:space="preserve"> in 2010,  higher than the rate of the previous year (32.1% in 2009). Poverty risk in </w:t>
      </w:r>
      <w:r w:rsidR="005B2D35" w:rsidRPr="005B2D35">
        <w:rPr>
          <w:i/>
          <w:lang w:val="en-GB"/>
        </w:rPr>
        <w:t>large families</w:t>
      </w:r>
      <w:r w:rsidR="005B2D35" w:rsidRPr="005B2D35">
        <w:rPr>
          <w:lang w:val="en-GB"/>
        </w:rPr>
        <w:t xml:space="preserve"> is </w:t>
      </w:r>
      <w:r w:rsidR="005B2D35" w:rsidRPr="005B2D35">
        <w:rPr>
          <w:u w:val="dash"/>
          <w:lang w:val="en-GB"/>
        </w:rPr>
        <w:t xml:space="preserve">26,7%  </w:t>
      </w:r>
      <w:r w:rsidR="005B2D35" w:rsidRPr="005B2D35">
        <w:rPr>
          <w:lang w:val="en-GB"/>
        </w:rPr>
        <w:t>in 2010, presenting a decrease  of 2% in comparison to 2009 (28.6%)/[</w:t>
      </w:r>
      <w:r w:rsidR="007774C8">
        <w:rPr>
          <w:lang w:val="en-GB"/>
        </w:rPr>
        <w:t xml:space="preserve">Annex 2, </w:t>
      </w:r>
      <w:r w:rsidR="005B2D35" w:rsidRPr="005B2D35">
        <w:rPr>
          <w:i/>
          <w:lang w:val="en-GB"/>
        </w:rPr>
        <w:t>Table 13].</w:t>
      </w:r>
      <w:r>
        <w:rPr>
          <w:lang w:val="en-GB"/>
        </w:rPr>
        <w:t xml:space="preserve"> </w:t>
      </w:r>
      <w:r w:rsidR="005B2D35" w:rsidRPr="005B2D35">
        <w:rPr>
          <w:bCs/>
          <w:lang w:val="en-GB"/>
        </w:rPr>
        <w:t>For further statistical data, please, see Statistical Annex for Article 11.</w:t>
      </w:r>
    </w:p>
    <w:p w:rsidR="005B2D35" w:rsidRPr="005B2D35" w:rsidRDefault="005B2D35" w:rsidP="005B2D35">
      <w:pPr>
        <w:pStyle w:val="BodyText2"/>
        <w:ind w:right="26"/>
        <w:jc w:val="both"/>
        <w:rPr>
          <w:rFonts w:ascii="Times New Roman" w:hAnsi="Times New Roman" w:cs="Times New Roman"/>
          <w:dstrike/>
          <w:sz w:val="24"/>
          <w:szCs w:val="24"/>
          <w:lang w:val="en-GB"/>
        </w:rPr>
      </w:pPr>
    </w:p>
    <w:p w:rsidR="005B2D35" w:rsidRPr="005B2D35" w:rsidRDefault="005B2D35" w:rsidP="005B2D35">
      <w:pPr>
        <w:ind w:right="26"/>
        <w:jc w:val="both"/>
        <w:rPr>
          <w:u w:val="single"/>
          <w:lang w:val="en-GB"/>
        </w:rPr>
      </w:pPr>
      <w:r w:rsidRPr="005B2D35">
        <w:rPr>
          <w:u w:val="single"/>
          <w:lang w:val="en-GB"/>
        </w:rPr>
        <w:t>Policy measures</w:t>
      </w:r>
    </w:p>
    <w:p w:rsidR="005B2D35" w:rsidRPr="00771ADA" w:rsidRDefault="00EA19C8" w:rsidP="00771ADA">
      <w:pPr>
        <w:pStyle w:val="NormalWeb"/>
        <w:shd w:val="clear" w:color="auto" w:fill="FFFFFF"/>
        <w:spacing w:before="0" w:beforeAutospacing="0" w:after="0" w:afterAutospacing="0"/>
        <w:jc w:val="both"/>
        <w:rPr>
          <w:spacing w:val="-2"/>
          <w:lang w:val="en-GB"/>
        </w:rPr>
      </w:pPr>
      <w:r>
        <w:rPr>
          <w:lang w:val="en-GB"/>
        </w:rPr>
        <w:t>240.</w:t>
      </w:r>
      <w:r>
        <w:rPr>
          <w:lang w:val="en-GB"/>
        </w:rPr>
        <w:tab/>
      </w:r>
      <w:r w:rsidR="005B2D35" w:rsidRPr="005B2D35">
        <w:rPr>
          <w:lang w:val="en-GB"/>
        </w:rPr>
        <w:t>Many austerity measures have been adopted (and others are foreseen) by the government under the framework of the Greek Memorandum of Economic and Financial Policies, the medium term fiscal strategy 2012-2015, as well as the Second Economic Adjustment Programme (2012).</w:t>
      </w:r>
      <w:r w:rsidR="00771ADA">
        <w:rPr>
          <w:lang w:val="en-GB"/>
        </w:rPr>
        <w:t xml:space="preserve"> </w:t>
      </w:r>
      <w:r w:rsidR="005B2D35" w:rsidRPr="005B2D35">
        <w:rPr>
          <w:lang w:val="en-GB"/>
        </w:rPr>
        <w:t>These measures are referred (among others) to: tax reforms, wage bill reductions, pension reductions,</w:t>
      </w:r>
      <w:r w:rsidR="00771ADA">
        <w:rPr>
          <w:lang w:val="en-GB"/>
        </w:rPr>
        <w:t xml:space="preserve"> reduction of public allowances</w:t>
      </w:r>
      <w:r w:rsidR="005B2D35" w:rsidRPr="005B2D35">
        <w:rPr>
          <w:lang w:val="en-GB"/>
        </w:rPr>
        <w:t xml:space="preserve">, elimination of the 13th and the 14th wage payments for all public employees, increase of V.A.T (it has also been announced that there will be an increase in the VAT of domestic fuel, which is also expected to have negative consequences on poverty level), special solidarity contribution(on wages/salaries and pensions), special levy on property, cut in social benefits (e.g. benefit for large family have become  means-tested, family benefits for public sector employees are limited from November 2011), reduction of minimum wages and unemployment benefits. All these measures, in combination with the increasing unemployment rate in </w:t>
      </w:r>
      <w:smartTag w:uri="urn:schemas-microsoft-com:office:smarttags" w:element="country-region">
        <w:smartTag w:uri="urn:schemas-microsoft-com:office:smarttags" w:element="place">
          <w:r w:rsidR="005B2D35" w:rsidRPr="005B2D35">
            <w:rPr>
              <w:lang w:val="en-GB"/>
            </w:rPr>
            <w:t>Greece</w:t>
          </w:r>
        </w:smartTag>
      </w:smartTag>
      <w:r w:rsidR="005B2D35" w:rsidRPr="005B2D35">
        <w:rPr>
          <w:lang w:val="en-GB"/>
        </w:rPr>
        <w:t xml:space="preserve">, have negative consequences on citizens’ income and may increase poverty. </w:t>
      </w:r>
    </w:p>
    <w:p w:rsidR="005B2D35" w:rsidRPr="005B2D35" w:rsidRDefault="005B2D35" w:rsidP="005B2D35">
      <w:pPr>
        <w:jc w:val="both"/>
        <w:rPr>
          <w:lang w:val="en-GB"/>
        </w:rPr>
      </w:pPr>
    </w:p>
    <w:p w:rsidR="005B2D35" w:rsidRPr="00771ADA" w:rsidRDefault="00EA19C8" w:rsidP="00771ADA">
      <w:pPr>
        <w:pStyle w:val="BodyText2"/>
        <w:ind w:right="26"/>
        <w:jc w:val="both"/>
        <w:rPr>
          <w:rFonts w:ascii="Times New Roman" w:hAnsi="Times New Roman" w:cs="Times New Roman"/>
          <w:bCs/>
          <w:sz w:val="24"/>
          <w:szCs w:val="24"/>
          <w:lang w:val="en-GB"/>
        </w:rPr>
      </w:pPr>
      <w:r>
        <w:rPr>
          <w:rFonts w:ascii="Times New Roman" w:hAnsi="Times New Roman" w:cs="Times New Roman"/>
          <w:sz w:val="24"/>
          <w:szCs w:val="24"/>
          <w:lang w:val="en-GB"/>
        </w:rPr>
        <w:t>241.</w:t>
      </w:r>
      <w:r>
        <w:rPr>
          <w:rFonts w:ascii="Times New Roman" w:hAnsi="Times New Roman" w:cs="Times New Roman"/>
          <w:sz w:val="24"/>
          <w:szCs w:val="24"/>
          <w:lang w:val="en-GB"/>
        </w:rPr>
        <w:tab/>
      </w:r>
      <w:r w:rsidR="005B2D35" w:rsidRPr="00771ADA">
        <w:rPr>
          <w:rFonts w:ascii="Times New Roman" w:hAnsi="Times New Roman" w:cs="Times New Roman"/>
          <w:sz w:val="24"/>
          <w:szCs w:val="24"/>
          <w:lang w:val="en-GB"/>
        </w:rPr>
        <w:t xml:space="preserve">National policy has a double orientation: </w:t>
      </w:r>
      <w:r w:rsidR="005B2D35" w:rsidRPr="00771ADA">
        <w:rPr>
          <w:rFonts w:ascii="Times New Roman" w:hAnsi="Times New Roman" w:cs="Times New Roman"/>
          <w:i/>
          <w:sz w:val="24"/>
          <w:szCs w:val="24"/>
          <w:lang w:val="en-GB"/>
        </w:rPr>
        <w:t>to limit the social impact of the economic crisis</w:t>
      </w:r>
      <w:r w:rsidR="005B2D35" w:rsidRPr="00771ADA">
        <w:rPr>
          <w:rFonts w:ascii="Times New Roman" w:hAnsi="Times New Roman" w:cs="Times New Roman"/>
          <w:sz w:val="24"/>
          <w:szCs w:val="24"/>
          <w:lang w:val="en-GB"/>
        </w:rPr>
        <w:t xml:space="preserve"> with targeted measures in the short term and to </w:t>
      </w:r>
      <w:r w:rsidR="005B2D35" w:rsidRPr="00771ADA">
        <w:rPr>
          <w:rFonts w:ascii="Times New Roman" w:hAnsi="Times New Roman" w:cs="Times New Roman"/>
          <w:i/>
          <w:sz w:val="24"/>
          <w:szCs w:val="24"/>
          <w:lang w:val="en-GB"/>
        </w:rPr>
        <w:t>reform the national social policy system</w:t>
      </w:r>
      <w:r w:rsidR="005B2D35" w:rsidRPr="00771ADA">
        <w:rPr>
          <w:rFonts w:ascii="Times New Roman" w:hAnsi="Times New Roman" w:cs="Times New Roman"/>
          <w:sz w:val="24"/>
          <w:szCs w:val="24"/>
          <w:lang w:val="en-GB"/>
        </w:rPr>
        <w:t xml:space="preserve"> so that it can be adequate, effective and sustainable in the long term.</w:t>
      </w:r>
      <w:r w:rsidR="00771ADA" w:rsidRPr="00771ADA">
        <w:rPr>
          <w:rFonts w:ascii="Times New Roman" w:hAnsi="Times New Roman" w:cs="Times New Roman"/>
          <w:sz w:val="24"/>
          <w:szCs w:val="24"/>
          <w:lang w:val="en-GB"/>
        </w:rPr>
        <w:t xml:space="preserve"> </w:t>
      </w:r>
      <w:r w:rsidR="005B2D35" w:rsidRPr="00771ADA">
        <w:rPr>
          <w:rFonts w:ascii="Times New Roman" w:hAnsi="Times New Roman" w:cs="Times New Roman"/>
          <w:bCs/>
          <w:sz w:val="24"/>
          <w:szCs w:val="24"/>
          <w:lang w:val="en-GB"/>
        </w:rPr>
        <w:t xml:space="preserve">Severely affected by the economic crisis and the implementation of fiscal </w:t>
      </w:r>
      <w:r w:rsidR="005B2D35" w:rsidRPr="00771ADA">
        <w:rPr>
          <w:rFonts w:ascii="Times New Roman" w:hAnsi="Times New Roman" w:cs="Times New Roman"/>
          <w:sz w:val="24"/>
          <w:szCs w:val="24"/>
          <w:lang w:val="en-GB"/>
        </w:rPr>
        <w:t>adjustment measures</w:t>
      </w:r>
      <w:r w:rsidR="005B2D35" w:rsidRPr="00771ADA">
        <w:rPr>
          <w:rFonts w:ascii="Times New Roman" w:hAnsi="Times New Roman" w:cs="Times New Roman"/>
          <w:bCs/>
          <w:sz w:val="24"/>
          <w:szCs w:val="24"/>
          <w:lang w:val="en-GB"/>
        </w:rPr>
        <w:t xml:space="preserve">, Greece is facing a major challenge: to </w:t>
      </w:r>
      <w:r w:rsidR="005B2D35" w:rsidRPr="00771ADA">
        <w:rPr>
          <w:rFonts w:ascii="Times New Roman" w:hAnsi="Times New Roman" w:cs="Times New Roman"/>
          <w:bCs/>
          <w:i/>
          <w:sz w:val="24"/>
          <w:szCs w:val="24"/>
          <w:lang w:val="en-GB"/>
        </w:rPr>
        <w:t>build a social net against poverty and social exclusion</w:t>
      </w:r>
      <w:r w:rsidR="005B2D35" w:rsidRPr="00771ADA">
        <w:rPr>
          <w:rFonts w:ascii="Times New Roman" w:hAnsi="Times New Roman" w:cs="Times New Roman"/>
          <w:bCs/>
          <w:sz w:val="24"/>
          <w:szCs w:val="24"/>
          <w:lang w:val="en-GB"/>
        </w:rPr>
        <w:t xml:space="preserve">, </w:t>
      </w:r>
      <w:r w:rsidR="005B2D35" w:rsidRPr="00771ADA">
        <w:rPr>
          <w:rFonts w:ascii="Times New Roman" w:hAnsi="Times New Roman" w:cs="Times New Roman"/>
          <w:bCs/>
          <w:sz w:val="24"/>
          <w:szCs w:val="24"/>
          <w:lang w:val="en-US"/>
        </w:rPr>
        <w:t>particularly</w:t>
      </w:r>
      <w:r w:rsidR="005B2D35" w:rsidRPr="00771ADA">
        <w:rPr>
          <w:rFonts w:ascii="Times New Roman" w:hAnsi="Times New Roman" w:cs="Times New Roman"/>
          <w:bCs/>
          <w:sz w:val="24"/>
          <w:szCs w:val="24"/>
          <w:lang w:val="en-GB"/>
        </w:rPr>
        <w:t xml:space="preserve"> for the </w:t>
      </w:r>
      <w:r w:rsidR="005B2D35" w:rsidRPr="00771ADA">
        <w:rPr>
          <w:rFonts w:ascii="Times New Roman" w:hAnsi="Times New Roman" w:cs="Times New Roman"/>
          <w:bCs/>
          <w:sz w:val="24"/>
          <w:szCs w:val="24"/>
          <w:lang w:val="en-US"/>
        </w:rPr>
        <w:t>next few years</w:t>
      </w:r>
      <w:r w:rsidR="005B2D35" w:rsidRPr="00771ADA">
        <w:rPr>
          <w:rFonts w:ascii="Times New Roman" w:hAnsi="Times New Roman" w:cs="Times New Roman"/>
          <w:bCs/>
          <w:sz w:val="24"/>
          <w:szCs w:val="24"/>
          <w:lang w:val="en-GB"/>
        </w:rPr>
        <w:t xml:space="preserve"> with a number of </w:t>
      </w:r>
      <w:r w:rsidR="005B2D35" w:rsidRPr="00771ADA">
        <w:rPr>
          <w:rFonts w:ascii="Times New Roman" w:hAnsi="Times New Roman" w:cs="Times New Roman"/>
          <w:bCs/>
          <w:sz w:val="24"/>
          <w:szCs w:val="24"/>
          <w:u w:val="single"/>
          <w:lang w:val="en-GB"/>
        </w:rPr>
        <w:t>targeted measures to the unemployed</w:t>
      </w:r>
      <w:r w:rsidR="005B2D35" w:rsidRPr="00771ADA">
        <w:rPr>
          <w:rFonts w:ascii="Times New Roman" w:hAnsi="Times New Roman" w:cs="Times New Roman"/>
          <w:bCs/>
          <w:sz w:val="24"/>
          <w:szCs w:val="24"/>
          <w:lang w:val="en-GB"/>
        </w:rPr>
        <w:t xml:space="preserve">, </w:t>
      </w:r>
      <w:r w:rsidR="005B2D35" w:rsidRPr="00771ADA">
        <w:rPr>
          <w:rFonts w:ascii="Times New Roman" w:hAnsi="Times New Roman" w:cs="Times New Roman"/>
          <w:sz w:val="24"/>
          <w:szCs w:val="24"/>
          <w:lang w:val="en-GB"/>
        </w:rPr>
        <w:t xml:space="preserve">the </w:t>
      </w:r>
      <w:r w:rsidR="005B2D35" w:rsidRPr="00771ADA">
        <w:rPr>
          <w:rFonts w:ascii="Times New Roman" w:hAnsi="Times New Roman" w:cs="Times New Roman"/>
          <w:sz w:val="24"/>
          <w:szCs w:val="24"/>
          <w:u w:val="single"/>
          <w:lang w:val="en-GB"/>
        </w:rPr>
        <w:t>most vulnerable</w:t>
      </w:r>
      <w:r w:rsidR="005B2D35" w:rsidRPr="00771ADA">
        <w:rPr>
          <w:rFonts w:ascii="Times New Roman" w:hAnsi="Times New Roman" w:cs="Times New Roman"/>
          <w:bCs/>
          <w:sz w:val="24"/>
          <w:szCs w:val="24"/>
          <w:lang w:val="en-GB"/>
        </w:rPr>
        <w:t xml:space="preserve"> and the </w:t>
      </w:r>
      <w:r w:rsidR="005B2D35" w:rsidRPr="00771ADA">
        <w:rPr>
          <w:rFonts w:ascii="Times New Roman" w:hAnsi="Times New Roman" w:cs="Times New Roman"/>
          <w:bCs/>
          <w:sz w:val="24"/>
          <w:szCs w:val="24"/>
          <w:u w:val="single"/>
          <w:lang w:val="en-GB"/>
        </w:rPr>
        <w:t>people at risk of poverty</w:t>
      </w:r>
      <w:r w:rsidR="005B2D35" w:rsidRPr="00771ADA">
        <w:rPr>
          <w:rFonts w:ascii="Times New Roman" w:hAnsi="Times New Roman" w:cs="Times New Roman"/>
          <w:bCs/>
          <w:sz w:val="24"/>
          <w:szCs w:val="24"/>
          <w:lang w:val="en-GB"/>
        </w:rPr>
        <w:t xml:space="preserve"> (so as to limit the impact of the crisis). This “social safety net” against social exclusion, includes access to basic services, such as medical care, housing and education, as a matter of priority, during the crisis.  As the </w:t>
      </w:r>
      <w:r w:rsidR="005B2D35" w:rsidRPr="00771ADA">
        <w:rPr>
          <w:rFonts w:ascii="Times New Roman" w:hAnsi="Times New Roman" w:cs="Times New Roman"/>
          <w:sz w:val="24"/>
          <w:szCs w:val="24"/>
          <w:lang w:val="en-GB"/>
        </w:rPr>
        <w:t>most effective tool in fighting poverty is employment, building inclusive labour markets is a priority for the Hellenic strategy.</w:t>
      </w:r>
    </w:p>
    <w:p w:rsidR="005B2D35" w:rsidRPr="005B2D35" w:rsidRDefault="005B2D35" w:rsidP="005B2D35">
      <w:pPr>
        <w:ind w:right="26"/>
        <w:jc w:val="both"/>
        <w:rPr>
          <w:lang w:val="en-GB"/>
        </w:rPr>
      </w:pPr>
    </w:p>
    <w:p w:rsidR="005B2D35" w:rsidRPr="005B2D35" w:rsidRDefault="00EA19C8" w:rsidP="005B2D35">
      <w:pPr>
        <w:ind w:right="26"/>
        <w:jc w:val="both"/>
        <w:rPr>
          <w:lang w:val="en-GB"/>
        </w:rPr>
      </w:pPr>
      <w:r>
        <w:rPr>
          <w:lang w:val="en-GB"/>
        </w:rPr>
        <w:t>242.</w:t>
      </w:r>
      <w:r>
        <w:rPr>
          <w:lang w:val="en-GB"/>
        </w:rPr>
        <w:tab/>
      </w:r>
      <w:r w:rsidR="005B2D35" w:rsidRPr="005B2D35">
        <w:rPr>
          <w:lang w:val="en-GB"/>
        </w:rPr>
        <w:t>The Ministry of Labour and Social Security, in order to respond to the challenges of the economic crisis, aims at:</w:t>
      </w:r>
    </w:p>
    <w:p w:rsidR="005B2D35" w:rsidRPr="005B2D35" w:rsidRDefault="005B2D35" w:rsidP="005B2D35">
      <w:pPr>
        <w:ind w:right="26"/>
        <w:jc w:val="both"/>
        <w:rPr>
          <w:lang w:val="en-GB"/>
        </w:rPr>
      </w:pPr>
      <w:r w:rsidRPr="005B2D35">
        <w:rPr>
          <w:lang w:val="en-GB"/>
        </w:rPr>
        <w:t xml:space="preserve">-creating </w:t>
      </w:r>
      <w:r w:rsidRPr="005B2D35">
        <w:rPr>
          <w:i/>
          <w:lang w:val="en-GB"/>
        </w:rPr>
        <w:t>more favourable conditions for employment</w:t>
      </w:r>
      <w:r w:rsidRPr="005B2D35">
        <w:rPr>
          <w:lang w:val="en-GB"/>
        </w:rPr>
        <w:t xml:space="preserve"> (by legislative interventions and implementation of structural reforms (regarding Flexible forms of employment, Labour cost reduction, Collective bargaining flexibility, fighting against undeclared work)</w:t>
      </w:r>
    </w:p>
    <w:p w:rsidR="005B2D35" w:rsidRPr="005B2D35" w:rsidRDefault="005B2D35" w:rsidP="005B2D35">
      <w:pPr>
        <w:autoSpaceDE w:val="0"/>
        <w:autoSpaceDN w:val="0"/>
        <w:adjustRightInd w:val="0"/>
        <w:jc w:val="both"/>
        <w:rPr>
          <w:bCs/>
          <w:lang w:val="en-GB"/>
        </w:rPr>
      </w:pPr>
      <w:r w:rsidRPr="005B2D35">
        <w:rPr>
          <w:lang w:val="en-GB"/>
        </w:rPr>
        <w:t>-</w:t>
      </w:r>
      <w:r w:rsidRPr="005B2D35">
        <w:rPr>
          <w:i/>
          <w:lang w:val="en-GB"/>
        </w:rPr>
        <w:t xml:space="preserve">tackling </w:t>
      </w:r>
      <w:r w:rsidRPr="005B2D35">
        <w:rPr>
          <w:bCs/>
          <w:i/>
          <w:lang w:val="en-GB"/>
        </w:rPr>
        <w:t>unemployment and promoting employment</w:t>
      </w:r>
      <w:r w:rsidRPr="005B2D35">
        <w:rPr>
          <w:lang w:val="en-GB"/>
        </w:rPr>
        <w:t xml:space="preserve"> through Employment Policies</w:t>
      </w:r>
      <w:r w:rsidRPr="005B2D35">
        <w:rPr>
          <w:bCs/>
          <w:lang w:val="en-GB"/>
        </w:rPr>
        <w:t xml:space="preserve"> </w:t>
      </w:r>
    </w:p>
    <w:p w:rsidR="005B2D35" w:rsidRPr="005B2D35" w:rsidRDefault="005B2D35" w:rsidP="005B2D35">
      <w:pPr>
        <w:autoSpaceDE w:val="0"/>
        <w:autoSpaceDN w:val="0"/>
        <w:adjustRightInd w:val="0"/>
        <w:jc w:val="both"/>
        <w:rPr>
          <w:i/>
          <w:lang w:val="en-GB"/>
        </w:rPr>
      </w:pPr>
      <w:r w:rsidRPr="005B2D35">
        <w:rPr>
          <w:lang w:val="en-GB"/>
        </w:rPr>
        <w:t>-</w:t>
      </w:r>
      <w:r w:rsidRPr="005B2D35">
        <w:rPr>
          <w:i/>
          <w:lang w:val="en-GB"/>
        </w:rPr>
        <w:t>limiting the social consequences of the crisis</w:t>
      </w:r>
      <w:r w:rsidRPr="005B2D35">
        <w:rPr>
          <w:lang w:val="en-GB"/>
        </w:rPr>
        <w:t xml:space="preserve"> </w:t>
      </w:r>
      <w:r w:rsidRPr="005B2D35">
        <w:rPr>
          <w:bCs/>
          <w:i/>
          <w:lang w:val="en-GB"/>
        </w:rPr>
        <w:t>(by</w:t>
      </w:r>
      <w:r w:rsidRPr="005B2D35">
        <w:rPr>
          <w:bCs/>
          <w:lang w:val="en-GB"/>
        </w:rPr>
        <w:t xml:space="preserve"> reinforcing the social dimension of the Operational Programme “Human Resources Development /2007-2013” by emphasizing the growth of social economy, the implementation of completed social </w:t>
      </w:r>
      <w:r w:rsidRPr="005B2D35">
        <w:rPr>
          <w:bCs/>
          <w:lang w:val="en-GB"/>
        </w:rPr>
        <w:lastRenderedPageBreak/>
        <w:t>integration policies for the vulnerable groups of population and the reduction of poverty).</w:t>
      </w:r>
    </w:p>
    <w:p w:rsidR="005B2D35" w:rsidRPr="005B2D35" w:rsidRDefault="005B2D35" w:rsidP="005B2D35">
      <w:pPr>
        <w:pStyle w:val="Default"/>
        <w:ind w:right="26"/>
        <w:jc w:val="both"/>
        <w:rPr>
          <w:rFonts w:ascii="Times New Roman" w:hAnsi="Times New Roman"/>
          <w:color w:val="auto"/>
          <w:lang w:val="en-GB"/>
        </w:rPr>
      </w:pPr>
    </w:p>
    <w:p w:rsidR="005B2D35" w:rsidRDefault="00EA19C8" w:rsidP="005B2D35">
      <w:pPr>
        <w:pStyle w:val="Default"/>
        <w:ind w:right="26"/>
        <w:jc w:val="both"/>
        <w:rPr>
          <w:rFonts w:ascii="Times New Roman" w:hAnsi="Times New Roman"/>
          <w:color w:val="auto"/>
          <w:lang w:val="en-GB"/>
        </w:rPr>
      </w:pPr>
      <w:r>
        <w:rPr>
          <w:rFonts w:ascii="Times New Roman" w:hAnsi="Times New Roman"/>
          <w:color w:val="auto"/>
          <w:lang w:val="en-GB"/>
        </w:rPr>
        <w:t>243.</w:t>
      </w:r>
      <w:r>
        <w:rPr>
          <w:rFonts w:ascii="Times New Roman" w:hAnsi="Times New Roman"/>
          <w:color w:val="auto"/>
          <w:lang w:val="en-GB"/>
        </w:rPr>
        <w:tab/>
      </w:r>
      <w:r w:rsidR="005B2D35" w:rsidRPr="005B2D35">
        <w:rPr>
          <w:rFonts w:ascii="Times New Roman" w:hAnsi="Times New Roman"/>
          <w:color w:val="auto"/>
          <w:lang w:val="en-GB"/>
        </w:rPr>
        <w:t>The main reforms and measures regarding tackling poverty and social exclusion for 2010, 2011 and 2012 are presented below</w:t>
      </w:r>
      <w:r w:rsidR="005B2D35" w:rsidRPr="005B2D35">
        <w:rPr>
          <w:rStyle w:val="FootnoteReference"/>
          <w:color w:val="auto"/>
          <w:sz w:val="24"/>
          <w:szCs w:val="24"/>
          <w:lang w:val="en-GB"/>
        </w:rPr>
        <w:footnoteReference w:id="9"/>
      </w:r>
      <w:r w:rsidR="005B2D35" w:rsidRPr="005B2D35">
        <w:rPr>
          <w:rFonts w:ascii="Times New Roman" w:hAnsi="Times New Roman"/>
          <w:color w:val="auto"/>
          <w:lang w:val="en-GB"/>
        </w:rPr>
        <w:t xml:space="preserve">. </w:t>
      </w:r>
    </w:p>
    <w:p w:rsidR="00771ADA" w:rsidRPr="005B2D35" w:rsidRDefault="00771ADA" w:rsidP="005B2D35">
      <w:pPr>
        <w:pStyle w:val="Default"/>
        <w:ind w:right="26"/>
        <w:jc w:val="both"/>
        <w:rPr>
          <w:rFonts w:ascii="Times New Roman" w:hAnsi="Times New Roman"/>
          <w:color w:val="auto"/>
          <w:lang w:val="en-GB"/>
        </w:rPr>
      </w:pPr>
    </w:p>
    <w:p w:rsidR="005B2D35" w:rsidRPr="005B2D35" w:rsidRDefault="00EA19C8" w:rsidP="005B2D35">
      <w:pPr>
        <w:jc w:val="both"/>
        <w:rPr>
          <w:lang w:val="en-GB"/>
        </w:rPr>
      </w:pPr>
      <w:r>
        <w:rPr>
          <w:lang w:val="en-GB"/>
        </w:rPr>
        <w:t>244.</w:t>
      </w:r>
      <w:r>
        <w:rPr>
          <w:lang w:val="en-GB"/>
        </w:rPr>
        <w:tab/>
      </w:r>
      <w:r w:rsidR="005B2D35" w:rsidRPr="005B2D35">
        <w:rPr>
          <w:lang w:val="en-GB"/>
        </w:rPr>
        <w:t>A) Measures to limit the social consequences of the crisis especially for the most vulnerable</w:t>
      </w:r>
      <w:r w:rsidR="005B2D35" w:rsidRPr="005B2D35">
        <w:rPr>
          <w:rStyle w:val="FootnoteReference"/>
          <w:sz w:val="24"/>
          <w:szCs w:val="24"/>
          <w:lang w:val="en-GB"/>
        </w:rPr>
        <w:footnoteReference w:id="10"/>
      </w:r>
      <w:r w:rsidR="005B2D35" w:rsidRPr="005B2D35">
        <w:rPr>
          <w:lang w:val="en-GB"/>
        </w:rPr>
        <w:t xml:space="preserve"> as well as to promote their social integration are implemented:</w:t>
      </w:r>
    </w:p>
    <w:p w:rsidR="005B2D35" w:rsidRPr="005B2D35" w:rsidRDefault="005B2D35" w:rsidP="005B2D35">
      <w:pPr>
        <w:numPr>
          <w:ilvl w:val="0"/>
          <w:numId w:val="37"/>
        </w:numPr>
        <w:jc w:val="both"/>
        <w:rPr>
          <w:lang w:val="en-GB"/>
        </w:rPr>
      </w:pPr>
      <w:r w:rsidRPr="005B2D35">
        <w:rPr>
          <w:lang w:val="en-GB"/>
        </w:rPr>
        <w:t>Promotion of social economy with the implementation of new legislation  (law 4029/2011</w:t>
      </w:r>
      <w:r w:rsidRPr="005B2D35">
        <w:rPr>
          <w:i/>
          <w:lang w:val="en-GB"/>
        </w:rPr>
        <w:t xml:space="preserve">[«Social Economy and Social Entrepreneurship </w:t>
      </w:r>
      <w:r w:rsidRPr="005B2D35">
        <w:rPr>
          <w:i/>
          <w:lang w:val="en-US"/>
        </w:rPr>
        <w:t>and</w:t>
      </w:r>
      <w:r w:rsidRPr="005B2D35">
        <w:rPr>
          <w:i/>
          <w:lang w:val="en-GB"/>
        </w:rPr>
        <w:t xml:space="preserve"> </w:t>
      </w:r>
      <w:r w:rsidRPr="005B2D35">
        <w:rPr>
          <w:i/>
          <w:lang w:val="en-US"/>
        </w:rPr>
        <w:t>other</w:t>
      </w:r>
      <w:r w:rsidRPr="005B2D35">
        <w:rPr>
          <w:i/>
          <w:lang w:val="en-GB"/>
        </w:rPr>
        <w:t xml:space="preserve"> </w:t>
      </w:r>
      <w:r w:rsidRPr="005B2D35">
        <w:rPr>
          <w:i/>
          <w:lang w:val="en-US"/>
        </w:rPr>
        <w:t>provisions</w:t>
      </w:r>
      <w:r w:rsidRPr="005B2D35">
        <w:rPr>
          <w:i/>
          <w:lang w:val="en-GB"/>
        </w:rPr>
        <w:t xml:space="preserve"> », Official Gazette </w:t>
      </w:r>
      <w:r w:rsidRPr="005B2D35">
        <w:rPr>
          <w:i/>
        </w:rPr>
        <w:t>Α</w:t>
      </w:r>
      <w:r w:rsidRPr="005B2D35">
        <w:rPr>
          <w:i/>
          <w:lang w:val="en-GB"/>
        </w:rPr>
        <w:t xml:space="preserve"> 216</w:t>
      </w:r>
      <w:r w:rsidRPr="005B2D35">
        <w:rPr>
          <w:i/>
        </w:rPr>
        <w:t>Α</w:t>
      </w:r>
      <w:r w:rsidRPr="005B2D35">
        <w:rPr>
          <w:i/>
          <w:lang w:val="en-GB"/>
        </w:rPr>
        <w:t>/30.9.2011]</w:t>
      </w:r>
    </w:p>
    <w:p w:rsidR="005B2D35" w:rsidRPr="005B2D35" w:rsidRDefault="005B2D35" w:rsidP="005B2D35">
      <w:pPr>
        <w:numPr>
          <w:ilvl w:val="0"/>
          <w:numId w:val="37"/>
        </w:numPr>
        <w:jc w:val="both"/>
        <w:rPr>
          <w:lang w:val="en-GB"/>
        </w:rPr>
      </w:pPr>
      <w:r w:rsidRPr="005B2D35">
        <w:rPr>
          <w:lang w:val="en-GB"/>
        </w:rPr>
        <w:t>Employment programmes for the socially vulnerable groups implemented by the Greek Manpower Organisation (OAED)</w:t>
      </w:r>
    </w:p>
    <w:p w:rsidR="005B2D35" w:rsidRPr="005B2D35" w:rsidRDefault="005B2D35" w:rsidP="005B2D35">
      <w:pPr>
        <w:numPr>
          <w:ilvl w:val="0"/>
          <w:numId w:val="37"/>
        </w:numPr>
        <w:jc w:val="both"/>
        <w:rPr>
          <w:lang w:val="en-GB"/>
        </w:rPr>
      </w:pPr>
      <w:r w:rsidRPr="005B2D35">
        <w:rPr>
          <w:lang w:val="en-GB"/>
        </w:rPr>
        <w:t>Social work programmes</w:t>
      </w:r>
    </w:p>
    <w:p w:rsidR="005B2D35" w:rsidRPr="005B2D35" w:rsidRDefault="005B2D35" w:rsidP="005B2D35">
      <w:pPr>
        <w:numPr>
          <w:ilvl w:val="0"/>
          <w:numId w:val="37"/>
        </w:numPr>
        <w:jc w:val="both"/>
        <w:rPr>
          <w:lang w:val="en-GB"/>
        </w:rPr>
      </w:pPr>
      <w:r w:rsidRPr="005B2D35">
        <w:rPr>
          <w:lang w:val="en-GB"/>
        </w:rPr>
        <w:t>Regional integrated programmes for the support of employment (TOPSA)</w:t>
      </w:r>
    </w:p>
    <w:p w:rsidR="005B2D35" w:rsidRPr="005B2D35" w:rsidRDefault="005B2D35" w:rsidP="005B2D35">
      <w:pPr>
        <w:numPr>
          <w:ilvl w:val="0"/>
          <w:numId w:val="37"/>
        </w:numPr>
        <w:jc w:val="both"/>
        <w:rPr>
          <w:lang w:val="en-GB"/>
        </w:rPr>
      </w:pPr>
      <w:r w:rsidRPr="005B2D35">
        <w:rPr>
          <w:lang w:val="en-GB"/>
        </w:rPr>
        <w:t>Local actions of social inclusion for socially vulnerable groups</w:t>
      </w:r>
    </w:p>
    <w:p w:rsidR="005B2D35" w:rsidRPr="005B2D35" w:rsidRDefault="005B2D35" w:rsidP="005B2D35">
      <w:pPr>
        <w:numPr>
          <w:ilvl w:val="0"/>
          <w:numId w:val="37"/>
        </w:numPr>
        <w:jc w:val="both"/>
        <w:rPr>
          <w:lang w:val="en-GB"/>
        </w:rPr>
      </w:pPr>
      <w:r w:rsidRPr="005B2D35">
        <w:rPr>
          <w:lang w:val="en-GB"/>
        </w:rPr>
        <w:t xml:space="preserve">Establishment of an inter-ministerial working group to address the rapidly deteriorating homelessness problem </w:t>
      </w:r>
    </w:p>
    <w:p w:rsidR="005B2D35" w:rsidRPr="005B2D35" w:rsidRDefault="005B2D35" w:rsidP="005B2D35">
      <w:pPr>
        <w:jc w:val="both"/>
        <w:rPr>
          <w:lang w:val="en-GB"/>
        </w:rPr>
      </w:pPr>
    </w:p>
    <w:p w:rsidR="005B2D35" w:rsidRPr="005B2D35" w:rsidRDefault="00EA19C8" w:rsidP="005B2D35">
      <w:pPr>
        <w:jc w:val="both"/>
        <w:rPr>
          <w:lang w:val="en-GB"/>
        </w:rPr>
      </w:pPr>
      <w:r>
        <w:rPr>
          <w:lang w:val="en-GB"/>
        </w:rPr>
        <w:t>245.</w:t>
      </w:r>
      <w:r>
        <w:rPr>
          <w:lang w:val="en-GB"/>
        </w:rPr>
        <w:tab/>
      </w:r>
      <w:r w:rsidR="005B2D35" w:rsidRPr="005B2D35">
        <w:rPr>
          <w:lang w:val="en-GB"/>
        </w:rPr>
        <w:t>Additionally there are about to be implemented:</w:t>
      </w:r>
    </w:p>
    <w:p w:rsidR="005B2D35" w:rsidRPr="005B2D35" w:rsidRDefault="005B2D35" w:rsidP="005B2D35">
      <w:pPr>
        <w:numPr>
          <w:ilvl w:val="0"/>
          <w:numId w:val="37"/>
        </w:numPr>
        <w:jc w:val="both"/>
        <w:rPr>
          <w:lang w:val="en-GB"/>
        </w:rPr>
      </w:pPr>
      <w:r w:rsidRPr="005B2D35">
        <w:rPr>
          <w:lang w:val="en-GB"/>
        </w:rPr>
        <w:t xml:space="preserve">Establishment of the Social Economy Fund </w:t>
      </w:r>
    </w:p>
    <w:p w:rsidR="005B2D35" w:rsidRPr="005B2D35" w:rsidRDefault="005B2D35" w:rsidP="005B2D35">
      <w:pPr>
        <w:numPr>
          <w:ilvl w:val="0"/>
          <w:numId w:val="37"/>
        </w:numPr>
        <w:jc w:val="both"/>
        <w:rPr>
          <w:lang w:val="en-GB"/>
        </w:rPr>
      </w:pPr>
      <w:r w:rsidRPr="005B2D35">
        <w:rPr>
          <w:lang w:val="en-GB"/>
        </w:rPr>
        <w:t xml:space="preserve">Subsidy Programme for Social Enterprises </w:t>
      </w:r>
      <w:r w:rsidRPr="005B2D35">
        <w:rPr>
          <w:i/>
          <w:lang w:val="en-GB"/>
        </w:rPr>
        <w:t>[Law 4052/2012]</w:t>
      </w:r>
    </w:p>
    <w:p w:rsidR="005B2D35" w:rsidRPr="005B2D35" w:rsidRDefault="005B2D35" w:rsidP="005B2D35">
      <w:pPr>
        <w:numPr>
          <w:ilvl w:val="0"/>
          <w:numId w:val="37"/>
        </w:numPr>
        <w:jc w:val="both"/>
        <w:rPr>
          <w:lang w:val="en-GB"/>
        </w:rPr>
      </w:pPr>
      <w:r w:rsidRPr="005B2D35">
        <w:rPr>
          <w:lang w:val="en-GB"/>
        </w:rPr>
        <w:t>National Network for instant social intervention for social inclusion and the support of the most vulnerable</w:t>
      </w:r>
    </w:p>
    <w:p w:rsidR="005B2D35" w:rsidRPr="005B2D35" w:rsidRDefault="005B2D35" w:rsidP="005B2D35">
      <w:pPr>
        <w:numPr>
          <w:ilvl w:val="0"/>
          <w:numId w:val="37"/>
        </w:numPr>
        <w:jc w:val="both"/>
        <w:rPr>
          <w:lang w:val="en-GB"/>
        </w:rPr>
      </w:pPr>
      <w:r w:rsidRPr="005B2D35">
        <w:rPr>
          <w:lang w:val="en-GB"/>
        </w:rPr>
        <w:t xml:space="preserve">Targeted Training Programmes for </w:t>
      </w:r>
      <w:r w:rsidR="00771ADA">
        <w:rPr>
          <w:lang w:val="en-US"/>
        </w:rPr>
        <w:t>persons</w:t>
      </w:r>
      <w:r w:rsidRPr="005B2D35">
        <w:rPr>
          <w:lang w:val="en-GB"/>
        </w:rPr>
        <w:t xml:space="preserve"> with disabilities and for former substance users</w:t>
      </w:r>
    </w:p>
    <w:p w:rsidR="005B2D35" w:rsidRPr="005B2D35" w:rsidRDefault="005B2D35" w:rsidP="005B2D35">
      <w:pPr>
        <w:pStyle w:val="Default"/>
        <w:ind w:right="26"/>
        <w:jc w:val="both"/>
        <w:rPr>
          <w:rFonts w:ascii="Times New Roman" w:hAnsi="Times New Roman"/>
          <w:color w:val="auto"/>
          <w:lang w:val="en-GB"/>
        </w:rPr>
      </w:pPr>
    </w:p>
    <w:p w:rsidR="005B2D35" w:rsidRPr="005B2D35" w:rsidRDefault="00EA19C8" w:rsidP="005B2D35">
      <w:pPr>
        <w:pStyle w:val="Default"/>
        <w:ind w:right="26"/>
        <w:jc w:val="both"/>
        <w:rPr>
          <w:rFonts w:ascii="Times New Roman" w:hAnsi="Times New Roman"/>
          <w:color w:val="auto"/>
          <w:lang w:val="en-GB"/>
        </w:rPr>
      </w:pPr>
      <w:r>
        <w:rPr>
          <w:rFonts w:ascii="Times New Roman" w:hAnsi="Times New Roman"/>
          <w:color w:val="auto"/>
          <w:lang w:val="en-GB"/>
        </w:rPr>
        <w:t>246.</w:t>
      </w:r>
      <w:r>
        <w:rPr>
          <w:rFonts w:ascii="Times New Roman" w:hAnsi="Times New Roman"/>
          <w:color w:val="auto"/>
          <w:lang w:val="en-GB"/>
        </w:rPr>
        <w:tab/>
      </w:r>
      <w:r w:rsidR="005B2D35" w:rsidRPr="005B2D35">
        <w:rPr>
          <w:rFonts w:ascii="Times New Roman" w:hAnsi="Times New Roman"/>
          <w:color w:val="auto"/>
          <w:lang w:val="en-GB"/>
        </w:rPr>
        <w:t>Additionally, in order to increase the effectiveness of social programmes and better coordination between Ministries, agencies and local government, there are reforms concerning: the functional review of social programmes (in collaboration with OECD); the management and operation of the social security system through the establishment of an interministerial cooperation scheme for monitoring and assessing social inclusion &amp; protection policies; the administrative restructuring of ministries.</w:t>
      </w:r>
    </w:p>
    <w:p w:rsidR="005B2D35" w:rsidRPr="005B2D35" w:rsidRDefault="005B2D35" w:rsidP="005B2D35">
      <w:pPr>
        <w:pStyle w:val="Default"/>
        <w:ind w:right="26"/>
        <w:jc w:val="both"/>
        <w:rPr>
          <w:rFonts w:ascii="Times New Roman" w:hAnsi="Times New Roman"/>
          <w:color w:val="auto"/>
          <w:lang w:val="en-GB"/>
        </w:rPr>
      </w:pPr>
    </w:p>
    <w:p w:rsidR="005B2D35" w:rsidRPr="005B2D35" w:rsidRDefault="00EA19C8" w:rsidP="005B2D35">
      <w:pPr>
        <w:pStyle w:val="Default"/>
        <w:ind w:right="26"/>
        <w:jc w:val="both"/>
        <w:rPr>
          <w:rFonts w:ascii="Times New Roman" w:hAnsi="Times New Roman"/>
          <w:color w:val="auto"/>
          <w:lang w:val="en-GB"/>
        </w:rPr>
      </w:pPr>
      <w:r>
        <w:rPr>
          <w:rFonts w:ascii="Times New Roman" w:hAnsi="Times New Roman"/>
          <w:color w:val="auto"/>
          <w:lang w:val="en-GB"/>
        </w:rPr>
        <w:t>247.</w:t>
      </w:r>
      <w:r>
        <w:rPr>
          <w:rFonts w:ascii="Times New Roman" w:hAnsi="Times New Roman"/>
          <w:color w:val="auto"/>
          <w:lang w:val="en-GB"/>
        </w:rPr>
        <w:tab/>
      </w:r>
      <w:r w:rsidR="005B2D35" w:rsidRPr="005B2D35">
        <w:rPr>
          <w:rFonts w:ascii="Times New Roman" w:hAnsi="Times New Roman"/>
          <w:color w:val="auto"/>
          <w:lang w:val="en-GB"/>
        </w:rPr>
        <w:t xml:space="preserve">Within the framework of </w:t>
      </w:r>
      <w:r w:rsidR="005B2D35" w:rsidRPr="005B2D35">
        <w:rPr>
          <w:rFonts w:ascii="Times New Roman" w:hAnsi="Times New Roman"/>
          <w:i/>
          <w:color w:val="auto"/>
          <w:lang w:val="en-GB"/>
        </w:rPr>
        <w:t>tackling child poverty</w:t>
      </w:r>
      <w:r w:rsidR="005B2D35" w:rsidRPr="005B2D35">
        <w:rPr>
          <w:rFonts w:ascii="Times New Roman" w:hAnsi="Times New Roman"/>
          <w:color w:val="auto"/>
          <w:lang w:val="en-GB"/>
        </w:rPr>
        <w:t xml:space="preserve"> and the promotion of children’s rights, a preparatory process is underway which will lead to the development of a long-term strategy. The main axes are: a) supporting parents</w:t>
      </w:r>
      <w:r w:rsidR="005B2D35" w:rsidRPr="005B2D35">
        <w:rPr>
          <w:rFonts w:ascii="Times New Roman" w:eastAsia="MS Mincho" w:hAnsi="Times New Roman"/>
          <w:color w:val="auto"/>
          <w:lang w:val="en-GB"/>
        </w:rPr>
        <w:t xml:space="preserve">’ </w:t>
      </w:r>
      <w:r w:rsidR="005B2D35" w:rsidRPr="005B2D35">
        <w:rPr>
          <w:rFonts w:ascii="Times New Roman" w:hAnsi="Times New Roman"/>
          <w:color w:val="auto"/>
          <w:lang w:val="en-GB"/>
        </w:rPr>
        <w:t>employment, b) ensuring access for children and their families to services, in order to cover basic needs and upgrading their quality of life, c) upgrading institutions and services with the ultimate goal for social inclusion of all children.</w:t>
      </w:r>
    </w:p>
    <w:p w:rsidR="005B2D35" w:rsidRPr="005B2D35" w:rsidRDefault="005B2D35" w:rsidP="005B2D35">
      <w:pPr>
        <w:ind w:right="26"/>
        <w:jc w:val="both"/>
        <w:rPr>
          <w:u w:val="single"/>
          <w:lang w:val="en-GB"/>
        </w:rPr>
      </w:pPr>
    </w:p>
    <w:p w:rsidR="005B2D35" w:rsidRDefault="00EA19C8" w:rsidP="005B2D35">
      <w:pPr>
        <w:autoSpaceDE w:val="0"/>
        <w:autoSpaceDN w:val="0"/>
        <w:adjustRightInd w:val="0"/>
        <w:jc w:val="both"/>
        <w:rPr>
          <w:lang w:val="en-GB"/>
        </w:rPr>
      </w:pPr>
      <w:r>
        <w:rPr>
          <w:lang w:val="en-GB"/>
        </w:rPr>
        <w:lastRenderedPageBreak/>
        <w:t>248.</w:t>
      </w:r>
      <w:r>
        <w:rPr>
          <w:lang w:val="en-GB"/>
        </w:rPr>
        <w:tab/>
      </w:r>
      <w:r w:rsidR="005B2D35" w:rsidRPr="005B2D35">
        <w:rPr>
          <w:lang w:val="en-GB"/>
        </w:rPr>
        <w:t xml:space="preserve">There is a Pilot Programme, </w:t>
      </w:r>
      <w:r w:rsidR="005B2D35" w:rsidRPr="005B2D35">
        <w:rPr>
          <w:i/>
          <w:lang w:val="en-GB"/>
        </w:rPr>
        <w:t>“Provision of integrated local support and care services for poor families with children in four municipalities”</w:t>
      </w:r>
      <w:r w:rsidR="005B2D35" w:rsidRPr="005B2D35">
        <w:rPr>
          <w:lang w:val="en-GB"/>
        </w:rPr>
        <w:t xml:space="preserve"> (funding:  50% national sources; 50% European Economic Area Financial Mechanism), with a budget of €1.200.000, offering support through measures for the care of children and support of their parents in order to eradicate of persistent poverty and deprivation through the creation of 4 centres that provide support services for children. </w:t>
      </w:r>
    </w:p>
    <w:p w:rsidR="004C02BF" w:rsidRDefault="004C02BF" w:rsidP="005B2D35">
      <w:pPr>
        <w:autoSpaceDE w:val="0"/>
        <w:autoSpaceDN w:val="0"/>
        <w:adjustRightInd w:val="0"/>
        <w:jc w:val="both"/>
        <w:rPr>
          <w:lang w:val="en-GB"/>
        </w:rPr>
      </w:pPr>
    </w:p>
    <w:p w:rsidR="00771ADA" w:rsidRPr="00771ADA" w:rsidRDefault="00771ADA" w:rsidP="00771ADA">
      <w:pPr>
        <w:ind w:right="26"/>
        <w:jc w:val="both"/>
        <w:rPr>
          <w:b/>
          <w:bCs/>
          <w:iCs/>
          <w:lang w:val="en-GB"/>
        </w:rPr>
      </w:pPr>
      <w:r w:rsidRPr="00771ADA">
        <w:rPr>
          <w:b/>
          <w:bCs/>
          <w:iCs/>
          <w:lang w:val="en-GB"/>
        </w:rPr>
        <w:t xml:space="preserve">B) Social protection and access to essential services </w:t>
      </w:r>
    </w:p>
    <w:p w:rsidR="00EA19C8" w:rsidRDefault="00EA19C8" w:rsidP="00771ADA">
      <w:pPr>
        <w:pStyle w:val="Default"/>
        <w:ind w:right="26"/>
        <w:jc w:val="both"/>
        <w:rPr>
          <w:rFonts w:ascii="Times New Roman" w:hAnsi="Times New Roman"/>
          <w:color w:val="auto"/>
          <w:lang w:val="en-GB"/>
        </w:rPr>
      </w:pPr>
    </w:p>
    <w:p w:rsidR="00771ADA" w:rsidRPr="005B2D35" w:rsidRDefault="00771ADA" w:rsidP="00771ADA">
      <w:pPr>
        <w:pStyle w:val="Default"/>
        <w:ind w:right="26"/>
        <w:jc w:val="both"/>
        <w:rPr>
          <w:rFonts w:ascii="Times New Roman" w:hAnsi="Times New Roman"/>
          <w:color w:val="auto"/>
          <w:lang w:val="en-GB"/>
        </w:rPr>
      </w:pPr>
      <w:r w:rsidRPr="005B2D35">
        <w:rPr>
          <w:rFonts w:ascii="Times New Roman" w:hAnsi="Times New Roman"/>
          <w:color w:val="auto"/>
          <w:lang w:val="en-GB"/>
        </w:rPr>
        <w:t>-</w:t>
      </w:r>
      <w:r w:rsidRPr="00EA19C8">
        <w:rPr>
          <w:rFonts w:ascii="Times New Roman" w:hAnsi="Times New Roman"/>
          <w:color w:val="auto"/>
          <w:u w:val="single"/>
          <w:lang w:val="en-GB"/>
        </w:rPr>
        <w:t>Pension Reform</w:t>
      </w:r>
    </w:p>
    <w:p w:rsidR="00771ADA" w:rsidRPr="005B2D35" w:rsidRDefault="00EA19C8" w:rsidP="00771ADA">
      <w:pPr>
        <w:pStyle w:val="FootnoteText"/>
        <w:ind w:right="26"/>
        <w:jc w:val="both"/>
        <w:rPr>
          <w:rFonts w:ascii="Times New Roman" w:hAnsi="Times New Roman"/>
          <w:i/>
          <w:sz w:val="24"/>
          <w:szCs w:val="24"/>
          <w:lang w:val="en-GB"/>
        </w:rPr>
      </w:pPr>
      <w:r>
        <w:rPr>
          <w:rFonts w:ascii="Times New Roman" w:hAnsi="Times New Roman"/>
          <w:sz w:val="24"/>
          <w:szCs w:val="24"/>
          <w:lang w:val="en-GB"/>
        </w:rPr>
        <w:t>249.</w:t>
      </w:r>
      <w:r>
        <w:rPr>
          <w:rFonts w:ascii="Times New Roman" w:hAnsi="Times New Roman"/>
          <w:sz w:val="24"/>
          <w:szCs w:val="24"/>
          <w:lang w:val="en-GB"/>
        </w:rPr>
        <w:tab/>
      </w:r>
      <w:r w:rsidR="00771ADA" w:rsidRPr="005B2D35">
        <w:rPr>
          <w:rFonts w:ascii="Times New Roman" w:hAnsi="Times New Roman"/>
          <w:sz w:val="24"/>
          <w:szCs w:val="24"/>
          <w:lang w:val="en-GB"/>
        </w:rPr>
        <w:t xml:space="preserve">Major reforms with regards to the pension system have been introduced such as the Law 3863/2010 </w:t>
      </w:r>
      <w:r w:rsidR="00771ADA" w:rsidRPr="005B2D35">
        <w:rPr>
          <w:rFonts w:ascii="Times New Roman" w:hAnsi="Times New Roman"/>
          <w:i/>
          <w:sz w:val="24"/>
          <w:szCs w:val="24"/>
          <w:lang w:val="en-GB"/>
        </w:rPr>
        <w:t>«</w:t>
      </w:r>
      <w:r w:rsidR="00771ADA" w:rsidRPr="005B2D35">
        <w:rPr>
          <w:rFonts w:ascii="Times New Roman" w:hAnsi="Times New Roman"/>
          <w:i/>
          <w:sz w:val="24"/>
          <w:szCs w:val="24"/>
          <w:lang w:val="en-US"/>
        </w:rPr>
        <w:t>New</w:t>
      </w:r>
      <w:r w:rsidR="00771ADA" w:rsidRPr="005B2D35">
        <w:rPr>
          <w:rFonts w:ascii="Times New Roman" w:hAnsi="Times New Roman"/>
          <w:i/>
          <w:sz w:val="24"/>
          <w:szCs w:val="24"/>
          <w:lang w:val="en-GB"/>
        </w:rPr>
        <w:t xml:space="preserve"> </w:t>
      </w:r>
      <w:r w:rsidR="00771ADA" w:rsidRPr="005B2D35">
        <w:rPr>
          <w:rFonts w:ascii="Times New Roman" w:hAnsi="Times New Roman"/>
          <w:i/>
          <w:sz w:val="24"/>
          <w:szCs w:val="24"/>
          <w:lang w:val="en-US"/>
        </w:rPr>
        <w:t>Pension</w:t>
      </w:r>
      <w:r w:rsidR="00771ADA" w:rsidRPr="005B2D35">
        <w:rPr>
          <w:rFonts w:ascii="Times New Roman" w:hAnsi="Times New Roman"/>
          <w:i/>
          <w:sz w:val="24"/>
          <w:szCs w:val="24"/>
          <w:lang w:val="en-GB"/>
        </w:rPr>
        <w:t xml:space="preserve"> </w:t>
      </w:r>
      <w:r w:rsidR="00771ADA" w:rsidRPr="005B2D35">
        <w:rPr>
          <w:rFonts w:ascii="Times New Roman" w:hAnsi="Times New Roman"/>
          <w:i/>
          <w:sz w:val="24"/>
          <w:szCs w:val="24"/>
          <w:lang w:val="en-US"/>
        </w:rPr>
        <w:t>System</w:t>
      </w:r>
      <w:r w:rsidR="00771ADA" w:rsidRPr="005B2D35">
        <w:rPr>
          <w:rFonts w:ascii="Times New Roman" w:hAnsi="Times New Roman"/>
          <w:i/>
          <w:sz w:val="24"/>
          <w:szCs w:val="24"/>
          <w:lang w:val="en-GB"/>
        </w:rPr>
        <w:t xml:space="preserve"> </w:t>
      </w:r>
      <w:r w:rsidR="00771ADA" w:rsidRPr="005B2D35">
        <w:rPr>
          <w:rFonts w:ascii="Times New Roman" w:hAnsi="Times New Roman"/>
          <w:i/>
          <w:sz w:val="24"/>
          <w:szCs w:val="24"/>
          <w:lang w:val="en-US"/>
        </w:rPr>
        <w:t>and</w:t>
      </w:r>
      <w:r w:rsidR="00771ADA" w:rsidRPr="005B2D35">
        <w:rPr>
          <w:rFonts w:ascii="Times New Roman" w:hAnsi="Times New Roman"/>
          <w:i/>
          <w:sz w:val="24"/>
          <w:szCs w:val="24"/>
          <w:lang w:val="en-GB"/>
        </w:rPr>
        <w:t xml:space="preserve"> </w:t>
      </w:r>
      <w:r w:rsidR="00771ADA" w:rsidRPr="005B2D35">
        <w:rPr>
          <w:rFonts w:ascii="Times New Roman" w:hAnsi="Times New Roman"/>
          <w:i/>
          <w:sz w:val="24"/>
          <w:szCs w:val="24"/>
          <w:lang w:val="en-US"/>
        </w:rPr>
        <w:t>related</w:t>
      </w:r>
      <w:r w:rsidR="00771ADA" w:rsidRPr="005B2D35">
        <w:rPr>
          <w:rFonts w:ascii="Times New Roman" w:hAnsi="Times New Roman"/>
          <w:i/>
          <w:sz w:val="24"/>
          <w:szCs w:val="24"/>
          <w:lang w:val="en-GB"/>
        </w:rPr>
        <w:t xml:space="preserve"> </w:t>
      </w:r>
      <w:r w:rsidR="00771ADA" w:rsidRPr="005B2D35">
        <w:rPr>
          <w:rFonts w:ascii="Times New Roman" w:hAnsi="Times New Roman"/>
          <w:i/>
          <w:sz w:val="24"/>
          <w:szCs w:val="24"/>
          <w:lang w:val="en-US"/>
        </w:rPr>
        <w:t>arrangements</w:t>
      </w:r>
      <w:r w:rsidR="00771ADA" w:rsidRPr="005B2D35">
        <w:rPr>
          <w:rFonts w:ascii="Times New Roman" w:hAnsi="Times New Roman"/>
          <w:i/>
          <w:sz w:val="24"/>
          <w:szCs w:val="24"/>
          <w:lang w:val="en-GB"/>
        </w:rPr>
        <w:t xml:space="preserve">, </w:t>
      </w:r>
      <w:r w:rsidR="00771ADA" w:rsidRPr="005B2D35">
        <w:rPr>
          <w:rFonts w:ascii="Times New Roman" w:hAnsi="Times New Roman"/>
          <w:i/>
          <w:sz w:val="24"/>
          <w:szCs w:val="24"/>
          <w:lang w:val="en-US"/>
        </w:rPr>
        <w:t>regulation in the employment relationships</w:t>
      </w:r>
      <w:r w:rsidR="00771ADA" w:rsidRPr="005B2D35">
        <w:rPr>
          <w:rFonts w:ascii="Times New Roman" w:hAnsi="Times New Roman"/>
          <w:i/>
          <w:sz w:val="24"/>
          <w:szCs w:val="24"/>
          <w:lang w:val="en-GB"/>
        </w:rPr>
        <w:t xml:space="preserve">» </w:t>
      </w:r>
      <w:r w:rsidR="00771ADA" w:rsidRPr="005B2D35">
        <w:rPr>
          <w:rFonts w:ascii="Times New Roman" w:hAnsi="Times New Roman"/>
          <w:sz w:val="24"/>
          <w:szCs w:val="24"/>
          <w:lang w:val="en-US"/>
        </w:rPr>
        <w:t>aiming at a sustainable, socially just and adequate pension system</w:t>
      </w:r>
      <w:r w:rsidR="00771ADA" w:rsidRPr="005B2D35">
        <w:rPr>
          <w:rFonts w:ascii="Times New Roman" w:hAnsi="Times New Roman"/>
          <w:sz w:val="24"/>
          <w:szCs w:val="24"/>
          <w:lang w:val="en-GB"/>
        </w:rPr>
        <w:t>: the gradual equalization of the old-age pension requirements for all insurance funds, the establishment of a more rational system of calculating pensions; the introduction of demographic considerations in the old-age pension-age requirement; a Pensioners</w:t>
      </w:r>
      <w:r w:rsidR="00771ADA" w:rsidRPr="005B2D35">
        <w:rPr>
          <w:rFonts w:ascii="Times New Roman" w:eastAsia="MS Mincho" w:hAnsi="Times New Roman"/>
          <w:sz w:val="24"/>
          <w:szCs w:val="24"/>
          <w:lang w:val="en-GB"/>
        </w:rPr>
        <w:t>’</w:t>
      </w:r>
      <w:r w:rsidR="00771ADA" w:rsidRPr="005B2D35">
        <w:rPr>
          <w:rFonts w:ascii="Times New Roman" w:hAnsi="Times New Roman"/>
          <w:sz w:val="24"/>
          <w:szCs w:val="24"/>
          <w:lang w:val="en-GB"/>
        </w:rPr>
        <w:t xml:space="preserve"> Solidarity Contribution, applicable on high pensions . </w:t>
      </w:r>
    </w:p>
    <w:p w:rsidR="00771ADA" w:rsidRPr="005B2D35" w:rsidRDefault="00771ADA" w:rsidP="00771ADA">
      <w:pPr>
        <w:pStyle w:val="Default"/>
        <w:ind w:right="26"/>
        <w:jc w:val="both"/>
        <w:rPr>
          <w:rFonts w:ascii="Times New Roman" w:hAnsi="Times New Roman"/>
          <w:color w:val="auto"/>
          <w:lang w:val="en-GB"/>
        </w:rPr>
      </w:pPr>
    </w:p>
    <w:p w:rsidR="00771ADA" w:rsidRPr="0016257B" w:rsidRDefault="00EA19C8" w:rsidP="0016257B">
      <w:pPr>
        <w:pStyle w:val="Default"/>
        <w:ind w:right="26"/>
        <w:jc w:val="both"/>
        <w:rPr>
          <w:rFonts w:ascii="Times New Roman" w:hAnsi="Times New Roman"/>
          <w:color w:val="auto"/>
          <w:lang w:val="en-GB"/>
        </w:rPr>
      </w:pPr>
      <w:r>
        <w:rPr>
          <w:rFonts w:ascii="Times New Roman" w:hAnsi="Times New Roman"/>
          <w:color w:val="auto"/>
          <w:lang w:val="en-US"/>
        </w:rPr>
        <w:t>250.</w:t>
      </w:r>
      <w:r>
        <w:rPr>
          <w:rFonts w:ascii="Times New Roman" w:hAnsi="Times New Roman"/>
          <w:color w:val="auto"/>
          <w:lang w:val="en-US"/>
        </w:rPr>
        <w:tab/>
      </w:r>
      <w:r w:rsidR="00771ADA" w:rsidRPr="005B2D35">
        <w:rPr>
          <w:rFonts w:ascii="Times New Roman" w:hAnsi="Times New Roman"/>
          <w:color w:val="auto"/>
          <w:lang w:val="en-US"/>
        </w:rPr>
        <w:t>According</w:t>
      </w:r>
      <w:r w:rsidR="00771ADA" w:rsidRPr="005B2D35">
        <w:rPr>
          <w:rFonts w:ascii="Times New Roman" w:hAnsi="Times New Roman"/>
          <w:color w:val="auto"/>
          <w:lang w:val="en-GB"/>
        </w:rPr>
        <w:t xml:space="preserve"> </w:t>
      </w:r>
      <w:r w:rsidR="00771ADA" w:rsidRPr="005B2D35">
        <w:rPr>
          <w:rFonts w:ascii="Times New Roman" w:hAnsi="Times New Roman"/>
          <w:color w:val="auto"/>
          <w:lang w:val="en-US"/>
        </w:rPr>
        <w:t>to</w:t>
      </w:r>
      <w:r w:rsidR="00771ADA" w:rsidRPr="005B2D35">
        <w:rPr>
          <w:rFonts w:ascii="Times New Roman" w:hAnsi="Times New Roman"/>
          <w:color w:val="auto"/>
          <w:lang w:val="en-GB"/>
        </w:rPr>
        <w:t xml:space="preserve"> </w:t>
      </w:r>
      <w:r w:rsidR="00771ADA" w:rsidRPr="005B2D35">
        <w:rPr>
          <w:rFonts w:ascii="Times New Roman" w:hAnsi="Times New Roman"/>
          <w:color w:val="auto"/>
          <w:lang w:val="en-US"/>
        </w:rPr>
        <w:t>Law</w:t>
      </w:r>
      <w:r w:rsidR="00771ADA" w:rsidRPr="005B2D35">
        <w:rPr>
          <w:rFonts w:ascii="Times New Roman" w:hAnsi="Times New Roman"/>
          <w:color w:val="auto"/>
          <w:lang w:val="en-GB"/>
        </w:rPr>
        <w:t xml:space="preserve"> 3863/2010</w:t>
      </w:r>
      <w:r w:rsidR="00771ADA" w:rsidRPr="005B2D35">
        <w:rPr>
          <w:rFonts w:ascii="Times New Roman" w:hAnsi="Times New Roman"/>
          <w:i/>
          <w:color w:val="auto"/>
          <w:lang w:val="en-GB"/>
        </w:rPr>
        <w:t xml:space="preserve"> </w:t>
      </w:r>
      <w:r w:rsidR="00771ADA" w:rsidRPr="005B2D35">
        <w:rPr>
          <w:rFonts w:ascii="Times New Roman" w:hAnsi="Times New Roman"/>
          <w:color w:val="auto"/>
          <w:lang w:val="en-GB"/>
        </w:rPr>
        <w:t xml:space="preserve">a basic minimum pension </w:t>
      </w:r>
      <w:r w:rsidR="00771ADA" w:rsidRPr="005B2D35">
        <w:rPr>
          <w:rFonts w:ascii="Times New Roman" w:hAnsi="Times New Roman"/>
          <w:color w:val="auto"/>
          <w:u w:val="single"/>
          <w:lang w:val="en-GB"/>
        </w:rPr>
        <w:t>for all</w:t>
      </w:r>
      <w:r w:rsidR="00771ADA" w:rsidRPr="005B2D35">
        <w:rPr>
          <w:rFonts w:ascii="Times New Roman" w:hAnsi="Times New Roman"/>
          <w:color w:val="auto"/>
          <w:lang w:val="en-GB"/>
        </w:rPr>
        <w:t xml:space="preserve"> as of 2015</w:t>
      </w:r>
      <w:r w:rsidR="00771ADA" w:rsidRPr="005B2D35">
        <w:rPr>
          <w:rFonts w:ascii="Times New Roman" w:hAnsi="Times New Roman"/>
          <w:color w:val="auto"/>
          <w:lang w:val="en-US"/>
        </w:rPr>
        <w:t xml:space="preserve"> </w:t>
      </w:r>
      <w:r w:rsidR="00771ADA" w:rsidRPr="005B2D35">
        <w:rPr>
          <w:rFonts w:ascii="Times New Roman" w:hAnsi="Times New Roman"/>
          <w:color w:val="auto"/>
          <w:lang w:val="en-GB"/>
        </w:rPr>
        <w:t>is introduced.</w:t>
      </w:r>
      <w:r w:rsidR="0016257B">
        <w:rPr>
          <w:rFonts w:ascii="Times New Roman" w:hAnsi="Times New Roman"/>
          <w:color w:val="auto"/>
          <w:lang w:val="en-GB"/>
        </w:rPr>
        <w:t xml:space="preserve"> </w:t>
      </w:r>
      <w:r w:rsidR="00771ADA" w:rsidRPr="0016257B">
        <w:rPr>
          <w:rFonts w:ascii="Times New Roman" w:hAnsi="Times New Roman"/>
          <w:lang w:val="en-GB"/>
        </w:rPr>
        <w:t>By 2015 there will be a basic pension of €360 for all and one analogical, which will be won by every single worker with years of experience.</w:t>
      </w:r>
      <w:r w:rsidR="00771ADA" w:rsidRPr="005B2D35">
        <w:rPr>
          <w:lang w:val="en-GB"/>
        </w:rPr>
        <w:t> </w:t>
      </w:r>
    </w:p>
    <w:p w:rsidR="00771ADA" w:rsidRPr="005B2D35" w:rsidRDefault="00771ADA" w:rsidP="00771ADA">
      <w:pPr>
        <w:ind w:right="26"/>
        <w:jc w:val="both"/>
        <w:rPr>
          <w:lang w:val="en-GB"/>
        </w:rPr>
      </w:pPr>
    </w:p>
    <w:p w:rsidR="00771ADA" w:rsidRPr="00EA19C8" w:rsidRDefault="00771ADA" w:rsidP="00771ADA">
      <w:pPr>
        <w:pStyle w:val="Default"/>
        <w:ind w:right="26"/>
        <w:jc w:val="both"/>
        <w:rPr>
          <w:rFonts w:ascii="Times New Roman" w:hAnsi="Times New Roman"/>
          <w:color w:val="auto"/>
          <w:u w:val="single"/>
          <w:lang w:val="en-GB"/>
        </w:rPr>
      </w:pPr>
      <w:r w:rsidRPr="00EA19C8">
        <w:rPr>
          <w:rFonts w:ascii="Times New Roman" w:hAnsi="Times New Roman"/>
          <w:color w:val="auto"/>
          <w:u w:val="single"/>
          <w:lang w:val="en-GB"/>
        </w:rPr>
        <w:t>-Better Access to medical care</w:t>
      </w:r>
    </w:p>
    <w:p w:rsidR="00771ADA" w:rsidRPr="005B2D35" w:rsidRDefault="00EA19C8" w:rsidP="00771ADA">
      <w:pPr>
        <w:pStyle w:val="Default"/>
        <w:ind w:right="26"/>
        <w:jc w:val="both"/>
        <w:rPr>
          <w:rFonts w:ascii="Times New Roman" w:hAnsi="Times New Roman"/>
          <w:color w:val="auto"/>
          <w:lang w:val="en-GB"/>
        </w:rPr>
      </w:pPr>
      <w:r>
        <w:rPr>
          <w:rFonts w:ascii="Times New Roman" w:hAnsi="Times New Roman"/>
          <w:color w:val="auto"/>
          <w:lang w:val="en-GB"/>
        </w:rPr>
        <w:t>251.</w:t>
      </w:r>
      <w:r>
        <w:rPr>
          <w:rFonts w:ascii="Times New Roman" w:hAnsi="Times New Roman"/>
          <w:color w:val="auto"/>
          <w:lang w:val="en-GB"/>
        </w:rPr>
        <w:tab/>
      </w:r>
      <w:r w:rsidR="00771ADA" w:rsidRPr="005B2D35">
        <w:rPr>
          <w:rFonts w:ascii="Times New Roman" w:hAnsi="Times New Roman"/>
          <w:color w:val="auto"/>
          <w:lang w:val="en-GB"/>
        </w:rPr>
        <w:t>According to Law 3996/2011</w:t>
      </w:r>
      <w:r w:rsidR="00771ADA" w:rsidRPr="005B2D35">
        <w:rPr>
          <w:rFonts w:ascii="Times New Roman" w:hAnsi="Times New Roman"/>
          <w:i/>
          <w:color w:val="auto"/>
          <w:lang w:val="en-GB"/>
        </w:rPr>
        <w:t>[”</w:t>
      </w:r>
      <w:r w:rsidR="00771ADA" w:rsidRPr="005B2D35">
        <w:rPr>
          <w:rFonts w:ascii="Times New Roman" w:hAnsi="Times New Roman"/>
          <w:i/>
          <w:color w:val="auto"/>
          <w:lang w:val="en-US"/>
        </w:rPr>
        <w:t xml:space="preserve">Restructuring of the Labour Inspectorate (SEPE) and regulations of social insurance issues”, article </w:t>
      </w:r>
      <w:r w:rsidR="00771ADA" w:rsidRPr="0016257B">
        <w:rPr>
          <w:rFonts w:ascii="Times New Roman" w:hAnsi="Times New Roman"/>
          <w:color w:val="auto"/>
          <w:lang w:val="en-US"/>
        </w:rPr>
        <w:t>35</w:t>
      </w:r>
      <w:r w:rsidR="0016257B">
        <w:rPr>
          <w:rFonts w:ascii="Times New Roman" w:hAnsi="Times New Roman"/>
          <w:color w:val="auto"/>
          <w:lang w:val="en-US"/>
        </w:rPr>
        <w:t xml:space="preserve">, </w:t>
      </w:r>
      <w:r w:rsidR="00771ADA" w:rsidRPr="0016257B">
        <w:rPr>
          <w:rFonts w:ascii="Times New Roman" w:hAnsi="Times New Roman"/>
          <w:color w:val="auto"/>
          <w:lang w:val="en-GB"/>
        </w:rPr>
        <w:t>as</w:t>
      </w:r>
      <w:r w:rsidR="00771ADA" w:rsidRPr="005B2D35">
        <w:rPr>
          <w:rFonts w:ascii="Times New Roman" w:hAnsi="Times New Roman"/>
          <w:color w:val="auto"/>
          <w:lang w:val="en-GB"/>
        </w:rPr>
        <w:t xml:space="preserve"> amended by </w:t>
      </w:r>
      <w:r w:rsidR="00771ADA" w:rsidRPr="005B2D35">
        <w:rPr>
          <w:rFonts w:ascii="Times New Roman" w:hAnsi="Times New Roman"/>
          <w:i/>
          <w:color w:val="auto"/>
          <w:lang w:val="en-GB"/>
        </w:rPr>
        <w:t>Article 138, N.4052/</w:t>
      </w:r>
      <w:r w:rsidR="00771ADA" w:rsidRPr="0016257B">
        <w:rPr>
          <w:rFonts w:ascii="Times New Roman" w:hAnsi="Times New Roman"/>
          <w:color w:val="auto"/>
          <w:lang w:val="en-GB"/>
        </w:rPr>
        <w:t>201</w:t>
      </w:r>
      <w:r w:rsidR="0016257B" w:rsidRPr="0016257B">
        <w:rPr>
          <w:rFonts w:ascii="Times New Roman" w:hAnsi="Times New Roman"/>
          <w:color w:val="auto"/>
          <w:lang w:val="en-GB"/>
        </w:rPr>
        <w:t>2</w:t>
      </w:r>
      <w:r w:rsidR="0016257B">
        <w:rPr>
          <w:rFonts w:ascii="Times New Roman" w:hAnsi="Times New Roman"/>
          <w:color w:val="auto"/>
          <w:lang w:val="en-GB"/>
        </w:rPr>
        <w:t xml:space="preserve">, </w:t>
      </w:r>
      <w:r w:rsidR="00771ADA" w:rsidRPr="0016257B">
        <w:rPr>
          <w:rFonts w:ascii="Times New Roman" w:hAnsi="Times New Roman"/>
          <w:color w:val="auto"/>
          <w:lang w:val="en-US"/>
        </w:rPr>
        <w:t>access</w:t>
      </w:r>
      <w:r w:rsidR="00771ADA" w:rsidRPr="005B2D35">
        <w:rPr>
          <w:rFonts w:ascii="Times New Roman" w:hAnsi="Times New Roman"/>
          <w:color w:val="auto"/>
          <w:lang w:val="en-US"/>
        </w:rPr>
        <w:t xml:space="preserve"> to medical and pharmaceutical services to the unemployed is extended </w:t>
      </w:r>
      <w:r w:rsidR="00771ADA" w:rsidRPr="005B2D35">
        <w:rPr>
          <w:rFonts w:ascii="Times New Roman" w:hAnsi="Times New Roman"/>
          <w:color w:val="auto"/>
          <w:lang w:val="en-GB"/>
        </w:rPr>
        <w:t>until December 31, 2012 </w:t>
      </w:r>
      <w:r w:rsidR="00771ADA" w:rsidRPr="005B2D35">
        <w:rPr>
          <w:rFonts w:ascii="Times New Roman" w:hAnsi="Times New Roman"/>
          <w:color w:val="auto"/>
          <w:lang w:val="en-US"/>
        </w:rPr>
        <w:t xml:space="preserve"> while special requirements for medical care coverage are defined in the case of people with very low work intensity</w:t>
      </w:r>
      <w:r w:rsidR="00771ADA" w:rsidRPr="005B2D35">
        <w:rPr>
          <w:rFonts w:ascii="Times New Roman" w:hAnsi="Times New Roman"/>
          <w:color w:val="auto"/>
          <w:lang w:val="en-GB"/>
        </w:rPr>
        <w:t>.</w:t>
      </w:r>
    </w:p>
    <w:p w:rsidR="00771ADA" w:rsidRPr="005B2D35" w:rsidRDefault="00771ADA" w:rsidP="00771ADA">
      <w:pPr>
        <w:pStyle w:val="Default"/>
        <w:ind w:right="26"/>
        <w:jc w:val="both"/>
        <w:rPr>
          <w:rFonts w:ascii="Times New Roman" w:hAnsi="Times New Roman"/>
          <w:color w:val="auto"/>
          <w:lang w:val="en-GB"/>
        </w:rPr>
      </w:pPr>
    </w:p>
    <w:p w:rsidR="00771ADA" w:rsidRPr="00EA19C8" w:rsidRDefault="00771ADA" w:rsidP="00771ADA">
      <w:pPr>
        <w:pStyle w:val="Default"/>
        <w:ind w:right="26"/>
        <w:jc w:val="both"/>
        <w:rPr>
          <w:rFonts w:ascii="Times New Roman" w:hAnsi="Times New Roman"/>
          <w:color w:val="auto"/>
          <w:u w:val="single"/>
          <w:lang w:val="en-GB"/>
        </w:rPr>
      </w:pPr>
      <w:r w:rsidRPr="00EA19C8">
        <w:rPr>
          <w:rFonts w:ascii="Times New Roman" w:hAnsi="Times New Roman"/>
          <w:color w:val="auto"/>
          <w:u w:val="single"/>
          <w:lang w:val="en-GB"/>
        </w:rPr>
        <w:t>-‘Help at home’ programme</w:t>
      </w:r>
    </w:p>
    <w:p w:rsidR="00771ADA" w:rsidRPr="005B2D35" w:rsidRDefault="00771ADA" w:rsidP="00771ADA">
      <w:pPr>
        <w:pStyle w:val="Default"/>
        <w:ind w:right="26"/>
        <w:jc w:val="both"/>
        <w:rPr>
          <w:rFonts w:ascii="Times New Roman" w:hAnsi="Times New Roman"/>
          <w:color w:val="auto"/>
          <w:lang w:val="en-GB"/>
        </w:rPr>
      </w:pPr>
      <w:r w:rsidRPr="005B2D35">
        <w:rPr>
          <w:rFonts w:ascii="Times New Roman" w:hAnsi="Times New Roman"/>
          <w:color w:val="auto"/>
          <w:lang w:val="en-GB"/>
        </w:rPr>
        <w:t xml:space="preserve"> </w:t>
      </w:r>
      <w:r w:rsidR="00EA19C8">
        <w:rPr>
          <w:rFonts w:ascii="Times New Roman" w:hAnsi="Times New Roman"/>
          <w:color w:val="auto"/>
          <w:lang w:val="en-GB"/>
        </w:rPr>
        <w:t>252.</w:t>
      </w:r>
      <w:r w:rsidR="00EA19C8">
        <w:rPr>
          <w:rFonts w:ascii="Times New Roman" w:hAnsi="Times New Roman"/>
          <w:color w:val="auto"/>
          <w:lang w:val="en-GB"/>
        </w:rPr>
        <w:tab/>
      </w:r>
      <w:r w:rsidRPr="005B2D35">
        <w:rPr>
          <w:rFonts w:ascii="Times New Roman" w:hAnsi="Times New Roman"/>
          <w:color w:val="auto"/>
          <w:lang w:val="en-GB"/>
        </w:rPr>
        <w:t xml:space="preserve">New legislation aims at ensuring the continuation of this successful programme </w:t>
      </w:r>
    </w:p>
    <w:p w:rsidR="00771ADA" w:rsidRPr="005B2D35" w:rsidRDefault="00771ADA" w:rsidP="00771ADA">
      <w:pPr>
        <w:pStyle w:val="Default"/>
        <w:ind w:right="26"/>
        <w:jc w:val="both"/>
        <w:rPr>
          <w:rFonts w:ascii="Times New Roman" w:hAnsi="Times New Roman"/>
          <w:color w:val="auto"/>
          <w:lang w:val="en-GB"/>
        </w:rPr>
      </w:pPr>
    </w:p>
    <w:p w:rsidR="00771ADA" w:rsidRPr="005B2D35" w:rsidRDefault="00771ADA" w:rsidP="00771ADA">
      <w:pPr>
        <w:jc w:val="both"/>
        <w:rPr>
          <w:lang w:val="en-GB"/>
        </w:rPr>
      </w:pPr>
      <w:r w:rsidRPr="00EA19C8">
        <w:rPr>
          <w:u w:val="single"/>
          <w:lang w:val="en-GB"/>
        </w:rPr>
        <w:t>-Special Prices for the unemployed (initiated by OAED</w:t>
      </w:r>
      <w:r w:rsidRPr="005B2D35">
        <w:rPr>
          <w:lang w:val="en-GB"/>
        </w:rPr>
        <w:t xml:space="preserve">): </w:t>
      </w:r>
    </w:p>
    <w:p w:rsidR="00771ADA" w:rsidRPr="005B2D35" w:rsidRDefault="00EA19C8" w:rsidP="00771ADA">
      <w:pPr>
        <w:jc w:val="both"/>
        <w:rPr>
          <w:lang w:val="en-GB"/>
        </w:rPr>
      </w:pPr>
      <w:r>
        <w:rPr>
          <w:lang w:val="en-GB"/>
        </w:rPr>
        <w:t>253.</w:t>
      </w:r>
      <w:r>
        <w:rPr>
          <w:lang w:val="en-GB"/>
        </w:rPr>
        <w:tab/>
      </w:r>
      <w:r w:rsidR="00771ADA" w:rsidRPr="005B2D35">
        <w:rPr>
          <w:lang w:val="en-GB"/>
        </w:rPr>
        <w:t>More than 1,500 businesses and shops are offering products and services at special prices for the unemployed.</w:t>
      </w:r>
    </w:p>
    <w:p w:rsidR="00771ADA" w:rsidRPr="005B2D35" w:rsidRDefault="00771ADA" w:rsidP="00771ADA">
      <w:pPr>
        <w:pStyle w:val="BodyText2"/>
        <w:ind w:right="26"/>
        <w:jc w:val="both"/>
        <w:rPr>
          <w:rFonts w:ascii="Times New Roman" w:hAnsi="Times New Roman" w:cs="Times New Roman"/>
          <w:bCs/>
          <w:sz w:val="24"/>
          <w:szCs w:val="24"/>
          <w:lang w:val="en-GB"/>
        </w:rPr>
      </w:pPr>
    </w:p>
    <w:p w:rsidR="00771ADA" w:rsidRPr="00EA19C8" w:rsidRDefault="00771ADA" w:rsidP="00771ADA">
      <w:pPr>
        <w:jc w:val="both"/>
        <w:rPr>
          <w:b/>
          <w:i/>
          <w:lang w:val="en-US"/>
        </w:rPr>
      </w:pPr>
      <w:r w:rsidRPr="00EA19C8">
        <w:rPr>
          <w:b/>
          <w:bCs/>
          <w:lang w:val="en-GB"/>
        </w:rPr>
        <w:t>C) Financial support (</w:t>
      </w:r>
      <w:r w:rsidRPr="00EA19C8">
        <w:rPr>
          <w:b/>
          <w:i/>
          <w:lang w:val="en-US"/>
        </w:rPr>
        <w:t>One- off allowances)</w:t>
      </w:r>
    </w:p>
    <w:p w:rsidR="00771ADA" w:rsidRPr="005B2D35" w:rsidRDefault="00EA19C8" w:rsidP="00771ADA">
      <w:pPr>
        <w:jc w:val="both"/>
        <w:rPr>
          <w:i/>
          <w:lang w:val="en-GB"/>
        </w:rPr>
      </w:pPr>
      <w:r>
        <w:rPr>
          <w:lang w:val="en-US"/>
        </w:rPr>
        <w:t>254.</w:t>
      </w:r>
      <w:r>
        <w:rPr>
          <w:lang w:val="en-US"/>
        </w:rPr>
        <w:tab/>
      </w:r>
      <w:r w:rsidR="00771ADA" w:rsidRPr="005B2D35">
        <w:rPr>
          <w:lang w:val="en-US"/>
        </w:rPr>
        <w:t>In the framework of targeted actions and in an attempt to deal with the current economic crisis, the</w:t>
      </w:r>
      <w:r w:rsidR="00771ADA" w:rsidRPr="005B2D35">
        <w:rPr>
          <w:lang w:val="en-GB"/>
        </w:rPr>
        <w:t xml:space="preserve"> Greek authorities distributed at the beginning of 2009 </w:t>
      </w:r>
      <w:r w:rsidR="00771ADA" w:rsidRPr="005B2D35">
        <w:rPr>
          <w:lang w:val="en-US"/>
        </w:rPr>
        <w:t xml:space="preserve">a ‘special social cohesion allowance’ to long-term unemployed persons, low income pensioners and categories of disabled persons </w:t>
      </w:r>
      <w:r w:rsidR="00771ADA" w:rsidRPr="005B2D35">
        <w:rPr>
          <w:i/>
          <w:lang w:val="en-GB"/>
        </w:rPr>
        <w:t>(Law 3746/2009, “Deposits and Investments Guarantee Fund….”, article 90).</w:t>
      </w:r>
    </w:p>
    <w:p w:rsidR="00771ADA" w:rsidRPr="005B2D35" w:rsidRDefault="00771ADA" w:rsidP="00771ADA">
      <w:pPr>
        <w:jc w:val="both"/>
        <w:rPr>
          <w:lang w:val="en-GB"/>
        </w:rPr>
      </w:pPr>
    </w:p>
    <w:p w:rsidR="00771ADA" w:rsidRPr="005B2D35" w:rsidRDefault="00EA19C8" w:rsidP="00771ADA">
      <w:pPr>
        <w:shd w:val="clear" w:color="auto" w:fill="FFFFFF"/>
        <w:jc w:val="both"/>
        <w:rPr>
          <w:lang w:val="en-US"/>
        </w:rPr>
      </w:pPr>
      <w:r>
        <w:rPr>
          <w:lang w:val="en-GB"/>
        </w:rPr>
        <w:t>255.</w:t>
      </w:r>
      <w:r>
        <w:rPr>
          <w:lang w:val="en-GB"/>
        </w:rPr>
        <w:tab/>
      </w:r>
      <w:r w:rsidR="00771ADA" w:rsidRPr="005B2D35">
        <w:rPr>
          <w:lang w:val="en-US"/>
        </w:rPr>
        <w:t xml:space="preserve">By virtue of Law 3808/2009 </w:t>
      </w:r>
      <w:r w:rsidR="00771ADA" w:rsidRPr="005B2D35">
        <w:rPr>
          <w:i/>
          <w:lang w:val="en-US"/>
        </w:rPr>
        <w:t>[</w:t>
      </w:r>
      <w:r w:rsidR="00771ADA" w:rsidRPr="005B2D35">
        <w:rPr>
          <w:i/>
          <w:lang w:val="en-GB"/>
        </w:rPr>
        <w:t>“</w:t>
      </w:r>
      <w:hyperlink r:id="rId9" w:history="1">
        <w:r w:rsidR="00771ADA" w:rsidRPr="005B2D35">
          <w:rPr>
            <w:i/>
            <w:lang w:val="en-GB"/>
          </w:rPr>
          <w:t>Extraordinary social solidarity economic support, extraordinary social solidarity contribution of highly profitable companies and highly valued real estate</w:t>
        </w:r>
      </w:hyperlink>
      <w:r w:rsidR="00771ADA" w:rsidRPr="005B2D35">
        <w:rPr>
          <w:i/>
          <w:lang w:val="en-GB"/>
        </w:rPr>
        <w:t xml:space="preserve"> and other  laws”]</w:t>
      </w:r>
      <w:r w:rsidR="00771ADA" w:rsidRPr="005B2D35">
        <w:rPr>
          <w:lang w:val="en-GB"/>
        </w:rPr>
        <w:t xml:space="preserve"> </w:t>
      </w:r>
      <w:r w:rsidR="00771ADA" w:rsidRPr="005B2D35">
        <w:rPr>
          <w:lang w:val="en-US"/>
        </w:rPr>
        <w:t>an ‘</w:t>
      </w:r>
      <w:r w:rsidR="00771ADA" w:rsidRPr="005B2D35">
        <w:rPr>
          <w:lang w:val="en-GB"/>
        </w:rPr>
        <w:t>social solidarity allowance</w:t>
      </w:r>
      <w:r w:rsidR="00771ADA" w:rsidRPr="005B2D35">
        <w:rPr>
          <w:lang w:val="en-US"/>
        </w:rPr>
        <w:t>’</w:t>
      </w:r>
      <w:r w:rsidR="00771ADA" w:rsidRPr="005B2D35">
        <w:rPr>
          <w:lang w:val="en-GB"/>
        </w:rPr>
        <w:t xml:space="preserve"> </w:t>
      </w:r>
      <w:r w:rsidR="00771ADA" w:rsidRPr="005B2D35">
        <w:rPr>
          <w:lang w:val="en-US"/>
        </w:rPr>
        <w:t>is provided in order to support the families of salaried employees, pensioners and farmers who have a very low income as well as vulnerable social groups (</w:t>
      </w:r>
      <w:r w:rsidR="00771ADA" w:rsidRPr="005B2D35">
        <w:rPr>
          <w:lang w:val="en-GB"/>
        </w:rPr>
        <w:t xml:space="preserve">after </w:t>
      </w:r>
      <w:r w:rsidR="00771ADA" w:rsidRPr="005B2D35">
        <w:rPr>
          <w:lang w:val="en-GB"/>
        </w:rPr>
        <w:lastRenderedPageBreak/>
        <w:t>satisfying certain income and/ or social criteria)</w:t>
      </w:r>
      <w:r w:rsidR="00771ADA" w:rsidRPr="005B2D35">
        <w:rPr>
          <w:lang w:val="en-US"/>
        </w:rPr>
        <w:t xml:space="preserve">, amounting from 300 up to </w:t>
      </w:r>
      <w:r w:rsidR="0016257B">
        <w:rPr>
          <w:lang w:val="en-US"/>
        </w:rPr>
        <w:t xml:space="preserve">1300 euros, in two equal doses </w:t>
      </w:r>
      <w:r w:rsidR="00771ADA" w:rsidRPr="005B2D35">
        <w:rPr>
          <w:lang w:val="en-US"/>
        </w:rPr>
        <w:t>Nevertheless, only the first one ha</w:t>
      </w:r>
      <w:r w:rsidR="0016257B">
        <w:rPr>
          <w:lang w:val="en-US"/>
        </w:rPr>
        <w:t>d been distributed</w:t>
      </w:r>
      <w:r w:rsidR="00771ADA" w:rsidRPr="005B2D35">
        <w:rPr>
          <w:lang w:val="en-US"/>
        </w:rPr>
        <w:t xml:space="preserve">. </w:t>
      </w:r>
    </w:p>
    <w:p w:rsidR="00771ADA" w:rsidRPr="005B2D35" w:rsidRDefault="00771ADA" w:rsidP="00771ADA">
      <w:pPr>
        <w:ind w:left="360"/>
        <w:jc w:val="both"/>
        <w:rPr>
          <w:lang w:val="en-US"/>
        </w:rPr>
      </w:pPr>
    </w:p>
    <w:p w:rsidR="00771ADA" w:rsidRPr="005B2D35" w:rsidRDefault="00EA19C8" w:rsidP="00771ADA">
      <w:pPr>
        <w:jc w:val="both"/>
        <w:rPr>
          <w:lang w:val="en-US"/>
        </w:rPr>
      </w:pPr>
      <w:r>
        <w:rPr>
          <w:lang w:val="en-US"/>
        </w:rPr>
        <w:t>256.</w:t>
      </w:r>
      <w:r>
        <w:rPr>
          <w:lang w:val="en-US"/>
        </w:rPr>
        <w:tab/>
      </w:r>
      <w:r w:rsidR="00771ADA" w:rsidRPr="005B2D35">
        <w:rPr>
          <w:lang w:val="en-GB"/>
        </w:rPr>
        <w:t xml:space="preserve">According to Law </w:t>
      </w:r>
      <w:r w:rsidR="00771ADA" w:rsidRPr="005B2D35">
        <w:rPr>
          <w:lang w:val="en-US"/>
        </w:rPr>
        <w:t>3896/</w:t>
      </w:r>
      <w:r w:rsidR="00771ADA" w:rsidRPr="005B2D35">
        <w:rPr>
          <w:i/>
          <w:lang w:val="en-US"/>
        </w:rPr>
        <w:t>2010</w:t>
      </w:r>
      <w:r w:rsidR="00771ADA" w:rsidRPr="005B2D35">
        <w:rPr>
          <w:i/>
          <w:lang w:val="en-GB"/>
        </w:rPr>
        <w:t xml:space="preserve"> [</w:t>
      </w:r>
      <w:r w:rsidR="00771ADA" w:rsidRPr="005B2D35">
        <w:rPr>
          <w:bCs/>
          <w:i/>
          <w:lang w:val="en-GB"/>
        </w:rPr>
        <w:t>Implementation of the principle of equal opportunities and equal treatment of men and women in matters of employment and occupation …</w:t>
      </w:r>
      <w:r w:rsidR="00771ADA" w:rsidRPr="005B2D35">
        <w:rPr>
          <w:i/>
          <w:lang w:val="en-GB"/>
        </w:rPr>
        <w:t>, 8.12.2010”]</w:t>
      </w:r>
      <w:r w:rsidR="00771ADA" w:rsidRPr="005B2D35">
        <w:rPr>
          <w:i/>
          <w:lang w:val="en-US"/>
        </w:rPr>
        <w:t>,</w:t>
      </w:r>
      <w:r w:rsidR="00771ADA" w:rsidRPr="005B2D35">
        <w:rPr>
          <w:lang w:val="en-US"/>
        </w:rPr>
        <w:t xml:space="preserve"> an ‘extraordinary </w:t>
      </w:r>
      <w:r w:rsidR="00771ADA" w:rsidRPr="005B2D35">
        <w:rPr>
          <w:bCs/>
          <w:lang w:val="en-GB"/>
        </w:rPr>
        <w:t xml:space="preserve">financial support’ is </w:t>
      </w:r>
      <w:r w:rsidR="00771ADA" w:rsidRPr="005B2D35">
        <w:rPr>
          <w:lang w:val="en-US"/>
        </w:rPr>
        <w:t>provided in order to support the low pension earners who are over 60 years old (</w:t>
      </w:r>
      <w:r w:rsidR="00771ADA" w:rsidRPr="005B2D35">
        <w:rPr>
          <w:lang w:val="en-GB"/>
        </w:rPr>
        <w:t>after satisfying certain income criteria)</w:t>
      </w:r>
      <w:r w:rsidR="00771ADA" w:rsidRPr="005B2D35">
        <w:rPr>
          <w:lang w:val="en-US"/>
        </w:rPr>
        <w:t>, amounting from 100 up to 300 euros.</w:t>
      </w:r>
    </w:p>
    <w:p w:rsidR="00822681" w:rsidRPr="00771ADA" w:rsidRDefault="00822681">
      <w:pPr>
        <w:ind w:right="26"/>
        <w:jc w:val="both"/>
        <w:rPr>
          <w:bCs/>
          <w:sz w:val="22"/>
          <w:szCs w:val="22"/>
          <w:u w:val="single"/>
          <w:lang w:val="en-US"/>
        </w:rPr>
      </w:pPr>
    </w:p>
    <w:p w:rsidR="00822681" w:rsidRDefault="00822681">
      <w:pPr>
        <w:ind w:right="26"/>
        <w:jc w:val="center"/>
        <w:rPr>
          <w:b/>
          <w:bCs/>
          <w:lang w:val="en-US"/>
        </w:rPr>
      </w:pPr>
      <w:r>
        <w:rPr>
          <w:b/>
          <w:bCs/>
          <w:lang w:val="en-US"/>
        </w:rPr>
        <w:t>ARTICLE 12</w:t>
      </w:r>
    </w:p>
    <w:p w:rsidR="00822681" w:rsidRDefault="00822681">
      <w:pPr>
        <w:ind w:right="26"/>
        <w:jc w:val="both"/>
        <w:rPr>
          <w:b/>
          <w:bCs/>
          <w:sz w:val="22"/>
          <w:szCs w:val="22"/>
          <w:lang w:val="en-US"/>
        </w:rPr>
      </w:pPr>
    </w:p>
    <w:p w:rsidR="00822681" w:rsidRDefault="00822681">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Public Hygiene </w:t>
      </w:r>
    </w:p>
    <w:p w:rsidR="00822681" w:rsidRDefault="00822681">
      <w:pPr>
        <w:pStyle w:val="BodyText2"/>
        <w:ind w:right="26"/>
        <w:jc w:val="both"/>
        <w:rPr>
          <w:rFonts w:ascii="Times New Roman" w:hAnsi="Times New Roman" w:cs="Times New Roman"/>
          <w:b/>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257.</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In relation to the actions in the field of Public Hygiene:</w:t>
      </w:r>
    </w:p>
    <w:p w:rsidR="00822681" w:rsidRDefault="00822681">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Law 3370/2005 on the “Organisation and operation of public health services and other provisions” has been issued.</w:t>
      </w:r>
    </w:p>
    <w:p w:rsidR="00822681" w:rsidRDefault="00822681">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The National Strategic Public Health Action Plan 2008-2013 has been elaborated.</w:t>
      </w:r>
    </w:p>
    <w:p w:rsidR="00822681" w:rsidRDefault="00822681">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The competent Agency of the Ministry of Health and Social Solidarity grants vaccines to the Prefectural Governments of the country, for the free vaccination coverage of itinerant populations as well as the poor and the uninsured.</w:t>
      </w:r>
    </w:p>
    <w:p w:rsidR="00822681" w:rsidRDefault="00822681">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The vaccination against Hepatitis B has been included in the National Vaccination Programme by virtue of a relevant Sanitary Provision.</w:t>
      </w:r>
    </w:p>
    <w:p w:rsidR="00822681" w:rsidRDefault="00822681">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To combat hepatitis C, public information campaigns have been organized by the Disease Control and Prevention Centre (KEELPNO).</w:t>
      </w:r>
    </w:p>
    <w:p w:rsidR="00822681" w:rsidRDefault="00822681">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There has been an increase in the nutrition benefit to kidney patients and regulation of issues in relation to the institutional framework of granting the above benefit.</w:t>
      </w:r>
    </w:p>
    <w:p w:rsidR="00822681" w:rsidRDefault="00822681">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By virtue of a 2007 Joint Ministerial Decision, as amended in 2008, the nutrition benefit of the kidney patients has been extended to patients who have undergone a heart, liver, lungs and bone marrow transplantation.</w:t>
      </w:r>
    </w:p>
    <w:p w:rsidR="00822681" w:rsidRDefault="00822681">
      <w:pPr>
        <w:pStyle w:val="BodyText2"/>
        <w:widowControl/>
        <w:numPr>
          <w:ilvl w:val="0"/>
          <w:numId w:val="7"/>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 xml:space="preserve">In the framework of the promotion of breastfeeding in </w:t>
      </w:r>
      <w:smartTag w:uri="urn:schemas-microsoft-com:office:smarttags" w:element="country-region">
        <w:smartTag w:uri="urn:schemas-microsoft-com:office:smarttags" w:element="place">
          <w:r>
            <w:rPr>
              <w:rFonts w:ascii="Times New Roman" w:hAnsi="Times New Roman" w:cs="Times New Roman"/>
              <w:bCs/>
              <w:color w:val="auto"/>
              <w:sz w:val="24"/>
              <w:szCs w:val="24"/>
              <w:lang w:val="en-US"/>
            </w:rPr>
            <w:t>Greece</w:t>
          </w:r>
        </w:smartTag>
      </w:smartTag>
      <w:r>
        <w:rPr>
          <w:rFonts w:ascii="Times New Roman" w:hAnsi="Times New Roman" w:cs="Times New Roman"/>
          <w:bCs/>
          <w:color w:val="auto"/>
          <w:sz w:val="24"/>
          <w:szCs w:val="24"/>
          <w:lang w:val="en-US"/>
        </w:rPr>
        <w:t xml:space="preserve">, a National Breastfeeding Committee was established in 2005.  With the consent of the National Committee, an epidemiological research was carried out by the </w:t>
      </w:r>
      <w:smartTag w:uri="urn:schemas-microsoft-com:office:smarttags" w:element="place">
        <w:smartTag w:uri="urn:schemas-microsoft-com:office:smarttags" w:element="PlaceType">
          <w:r>
            <w:rPr>
              <w:rFonts w:ascii="Times New Roman" w:hAnsi="Times New Roman" w:cs="Times New Roman"/>
              <w:bCs/>
              <w:color w:val="auto"/>
              <w:sz w:val="24"/>
              <w:szCs w:val="24"/>
              <w:lang w:val="en-US"/>
            </w:rPr>
            <w:t>Institute</w:t>
          </w:r>
        </w:smartTag>
        <w:r>
          <w:rPr>
            <w:rFonts w:ascii="Times New Roman" w:hAnsi="Times New Roman" w:cs="Times New Roman"/>
            <w:bCs/>
            <w:color w:val="auto"/>
            <w:sz w:val="24"/>
            <w:szCs w:val="24"/>
            <w:lang w:val="en-US"/>
          </w:rPr>
          <w:t xml:space="preserve"> of </w:t>
        </w:r>
        <w:smartTag w:uri="urn:schemas-microsoft-com:office:smarttags" w:element="PlaceName">
          <w:r>
            <w:rPr>
              <w:rFonts w:ascii="Times New Roman" w:hAnsi="Times New Roman" w:cs="Times New Roman"/>
              <w:bCs/>
              <w:color w:val="auto"/>
              <w:sz w:val="24"/>
              <w:szCs w:val="24"/>
              <w:lang w:val="en-US"/>
            </w:rPr>
            <w:t>Child</w:t>
          </w:r>
        </w:smartTag>
      </w:smartTag>
      <w:r>
        <w:rPr>
          <w:rFonts w:ascii="Times New Roman" w:hAnsi="Times New Roman" w:cs="Times New Roman"/>
          <w:bCs/>
          <w:color w:val="auto"/>
          <w:sz w:val="24"/>
          <w:szCs w:val="24"/>
          <w:lang w:val="en-US"/>
        </w:rPr>
        <w:t xml:space="preserve">’s Health, with the purpose of reflecting the existing situation as regards breastfeeding in </w:t>
      </w:r>
      <w:smartTag w:uri="urn:schemas-microsoft-com:office:smarttags" w:element="country-region">
        <w:smartTag w:uri="urn:schemas-microsoft-com:office:smarttags" w:element="place">
          <w:r>
            <w:rPr>
              <w:rFonts w:ascii="Times New Roman" w:hAnsi="Times New Roman" w:cs="Times New Roman"/>
              <w:bCs/>
              <w:color w:val="auto"/>
              <w:sz w:val="24"/>
              <w:szCs w:val="24"/>
              <w:lang w:val="en-US"/>
            </w:rPr>
            <w:t>Greece</w:t>
          </w:r>
        </w:smartTag>
      </w:smartTag>
      <w:r>
        <w:rPr>
          <w:rFonts w:ascii="Times New Roman" w:hAnsi="Times New Roman" w:cs="Times New Roman"/>
          <w:bCs/>
          <w:color w:val="auto"/>
          <w:sz w:val="24"/>
          <w:szCs w:val="24"/>
          <w:lang w:val="en-US"/>
        </w:rPr>
        <w:t xml:space="preserve"> a</w:t>
      </w:r>
      <w:r w:rsidR="00012728">
        <w:rPr>
          <w:rFonts w:ascii="Times New Roman" w:hAnsi="Times New Roman" w:cs="Times New Roman"/>
          <w:bCs/>
          <w:color w:val="auto"/>
          <w:sz w:val="24"/>
          <w:szCs w:val="24"/>
          <w:lang w:val="en-US"/>
        </w:rPr>
        <w:t xml:space="preserve">nd the factors that affect it. </w:t>
      </w:r>
      <w:r>
        <w:rPr>
          <w:rFonts w:ascii="Times New Roman" w:hAnsi="Times New Roman" w:cs="Times New Roman"/>
          <w:bCs/>
          <w:color w:val="auto"/>
          <w:sz w:val="24"/>
          <w:szCs w:val="24"/>
          <w:lang w:val="en-US"/>
        </w:rPr>
        <w:t>In 2006, breastfeeding officials were appointed in the hospitals that have Maternity and Neonatal Units.  Every year, training seminars take place aiming at raising awareness in health workers and the public in breastfeeding issues.</w:t>
      </w:r>
      <w:r w:rsidR="00012728">
        <w:rPr>
          <w:rFonts w:ascii="Times New Roman" w:hAnsi="Times New Roman" w:cs="Times New Roman"/>
          <w:bCs/>
          <w:color w:val="auto"/>
          <w:sz w:val="24"/>
          <w:szCs w:val="24"/>
          <w:lang w:val="en-US"/>
        </w:rPr>
        <w:t xml:space="preserve"> The Institute of Child Health implements a program for baby-friendly hospitals. </w:t>
      </w:r>
    </w:p>
    <w:p w:rsidR="00822681" w:rsidRDefault="00822681">
      <w:pPr>
        <w:pStyle w:val="BodyText2"/>
        <w:widowControl/>
        <w:suppressAutoHyphens w:val="0"/>
        <w:ind w:left="360" w:right="26"/>
        <w:jc w:val="both"/>
        <w:rPr>
          <w:rFonts w:ascii="Times New Roman" w:hAnsi="Times New Roman" w:cs="Times New Roman"/>
          <w:bCs/>
          <w:color w:val="auto"/>
          <w:sz w:val="24"/>
          <w:szCs w:val="24"/>
          <w:lang w:val="en-US"/>
        </w:rPr>
      </w:pPr>
    </w:p>
    <w:p w:rsidR="00822681" w:rsidRDefault="00822681" w:rsidP="00174FB1">
      <w:pPr>
        <w:pStyle w:val="BodyText2"/>
        <w:widowControl/>
        <w:suppressAutoHyphens w:val="0"/>
        <w:ind w:right="26"/>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Prohibition of smoking (paras. 25, 47 of the Committee’s Concluding Observations)</w:t>
      </w:r>
    </w:p>
    <w:p w:rsidR="00822681" w:rsidRDefault="00822681">
      <w:pPr>
        <w:pStyle w:val="BodyText2"/>
        <w:widowControl/>
        <w:suppressAutoHyphens w:val="0"/>
        <w:ind w:left="360"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258.</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Greece ratified the W.H.O. Framework Convention for Tobacco control by Law 3420/2005.</w:t>
      </w:r>
      <w:r w:rsidR="0016257B">
        <w:rPr>
          <w:rFonts w:ascii="Times New Roman" w:hAnsi="Times New Roman" w:cs="Times New Roman"/>
          <w:bCs/>
          <w:color w:val="auto"/>
          <w:sz w:val="24"/>
          <w:szCs w:val="24"/>
          <w:lang w:val="en-US"/>
        </w:rPr>
        <w:t xml:space="preserve"> </w:t>
      </w:r>
      <w:r w:rsidR="00822681">
        <w:rPr>
          <w:rFonts w:ascii="Times New Roman" w:hAnsi="Times New Roman" w:cs="Times New Roman"/>
          <w:bCs/>
          <w:color w:val="auto"/>
          <w:sz w:val="24"/>
          <w:szCs w:val="24"/>
          <w:lang w:val="en-US"/>
        </w:rPr>
        <w:t xml:space="preserve">At the same time, in the context of our country’s harmonization with the EU framework, a Joint Ministerial Decree on the advertising and sponsorship of tobacco products was issued in 2005, in compliance with the European Directive 33/2003/EC, prohibiting the advertising and the promotion of tobacco products in the </w:t>
      </w:r>
      <w:r w:rsidR="00822681">
        <w:rPr>
          <w:rFonts w:ascii="Times New Roman" w:hAnsi="Times New Roman" w:cs="Times New Roman"/>
          <w:bCs/>
          <w:color w:val="auto"/>
          <w:sz w:val="24"/>
          <w:szCs w:val="24"/>
          <w:lang w:val="en-US"/>
        </w:rPr>
        <w:lastRenderedPageBreak/>
        <w:t>press and the print media, the radio, the services of the information society and through sponsorships connected with tobacco that have a cross-border impact, including the free distribution of tobacco products.</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259.</w:t>
      </w:r>
      <w:r>
        <w:rPr>
          <w:rFonts w:ascii="Times New Roman" w:hAnsi="Times New Roman" w:cs="Times New Roman"/>
          <w:bCs/>
          <w:color w:val="auto"/>
          <w:sz w:val="24"/>
          <w:szCs w:val="24"/>
          <w:lang w:val="en-US"/>
        </w:rPr>
        <w:tab/>
      </w:r>
      <w:r w:rsidR="002712D1">
        <w:rPr>
          <w:rFonts w:ascii="Times New Roman" w:hAnsi="Times New Roman" w:cs="Times New Roman"/>
          <w:bCs/>
          <w:color w:val="auto"/>
          <w:sz w:val="24"/>
          <w:szCs w:val="24"/>
          <w:lang w:val="en-US"/>
        </w:rPr>
        <w:t>From 2004 to date, the</w:t>
      </w:r>
      <w:r w:rsidR="00822681">
        <w:rPr>
          <w:rFonts w:ascii="Times New Roman" w:hAnsi="Times New Roman" w:cs="Times New Roman"/>
          <w:bCs/>
          <w:color w:val="auto"/>
          <w:sz w:val="24"/>
          <w:szCs w:val="24"/>
          <w:lang w:val="en-US"/>
        </w:rPr>
        <w:t xml:space="preserve"> Ministry </w:t>
      </w:r>
      <w:r w:rsidR="002712D1">
        <w:rPr>
          <w:rFonts w:ascii="Times New Roman" w:hAnsi="Times New Roman" w:cs="Times New Roman"/>
          <w:bCs/>
          <w:color w:val="auto"/>
          <w:sz w:val="24"/>
          <w:szCs w:val="24"/>
          <w:lang w:val="en-US"/>
        </w:rPr>
        <w:t xml:space="preserve">of Health </w:t>
      </w:r>
      <w:r w:rsidR="00822681">
        <w:rPr>
          <w:rFonts w:ascii="Times New Roman" w:hAnsi="Times New Roman" w:cs="Times New Roman"/>
          <w:bCs/>
          <w:color w:val="auto"/>
          <w:sz w:val="24"/>
          <w:szCs w:val="24"/>
          <w:lang w:val="en-US"/>
        </w:rPr>
        <w:t>has distributed information leaflets on tobacco and alcohol to the Ministry of National Education, which were distributed to school students in the context of health education courses.</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260.</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Furthermore, in the years 2004-2008, systematic information of the public was realized using leaflets and audiovisual material both at the central and the regional level. Wide publicity was given to World Days against Tobacco (May 31</w:t>
      </w:r>
      <w:r w:rsidR="00822681">
        <w:rPr>
          <w:rFonts w:ascii="Times New Roman" w:hAnsi="Times New Roman" w:cs="Times New Roman"/>
          <w:bCs/>
          <w:color w:val="auto"/>
          <w:sz w:val="24"/>
          <w:szCs w:val="24"/>
          <w:vertAlign w:val="superscript"/>
          <w:lang w:val="en-US"/>
        </w:rPr>
        <w:t>st</w:t>
      </w:r>
      <w:r w:rsidR="00822681">
        <w:rPr>
          <w:rFonts w:ascii="Times New Roman" w:hAnsi="Times New Roman" w:cs="Times New Roman"/>
          <w:bCs/>
          <w:color w:val="auto"/>
          <w:sz w:val="24"/>
          <w:szCs w:val="24"/>
          <w:lang w:val="en-US"/>
        </w:rPr>
        <w:t>).</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261.</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Finally, Law no. 3730/2008 on the protection of juveniles against tobacco and alcohol was issued with the purpose of taking measures to deal with the impacts of tobacco on health, or otherwise the passive smoking.</w:t>
      </w:r>
      <w:r w:rsidR="002712D1">
        <w:rPr>
          <w:rFonts w:ascii="Times New Roman" w:hAnsi="Times New Roman" w:cs="Times New Roman"/>
          <w:bCs/>
          <w:color w:val="auto"/>
          <w:sz w:val="24"/>
          <w:szCs w:val="24"/>
          <w:lang w:val="en-US"/>
        </w:rPr>
        <w:t xml:space="preserve"> A total ban of smoking in public and private workplaces has been legislated. </w:t>
      </w:r>
    </w:p>
    <w:p w:rsidR="00822681" w:rsidRDefault="00822681">
      <w:pPr>
        <w:pStyle w:val="BodyText2"/>
        <w:ind w:right="26"/>
        <w:jc w:val="both"/>
        <w:rPr>
          <w:rFonts w:ascii="Times New Roman" w:hAnsi="Times New Roman" w:cs="Times New Roman"/>
          <w:bCs/>
          <w:color w:val="auto"/>
          <w:sz w:val="24"/>
          <w:szCs w:val="24"/>
          <w:lang w:val="en-US"/>
        </w:rPr>
      </w:pPr>
    </w:p>
    <w:p w:rsidR="006847BA" w:rsidRPr="0016257B" w:rsidRDefault="006847BA" w:rsidP="006847BA">
      <w:pPr>
        <w:pStyle w:val="BodyText2"/>
        <w:jc w:val="both"/>
        <w:rPr>
          <w:rFonts w:ascii="Times New Roman" w:hAnsi="Times New Roman" w:cs="Times New Roman"/>
          <w:b/>
          <w:bCs/>
          <w:sz w:val="24"/>
          <w:szCs w:val="24"/>
          <w:lang w:val="en-US"/>
        </w:rPr>
      </w:pPr>
      <w:r w:rsidRPr="0016257B">
        <w:rPr>
          <w:rFonts w:ascii="Times New Roman" w:hAnsi="Times New Roman" w:cs="Times New Roman"/>
          <w:b/>
          <w:bCs/>
          <w:sz w:val="24"/>
          <w:szCs w:val="24"/>
          <w:lang w:val="en-US"/>
        </w:rPr>
        <w:t xml:space="preserve">National nutrition policy. </w:t>
      </w:r>
    </w:p>
    <w:p w:rsidR="006847BA" w:rsidRPr="006847BA" w:rsidRDefault="006847BA" w:rsidP="006847BA">
      <w:pPr>
        <w:pStyle w:val="BodyText2"/>
        <w:jc w:val="both"/>
        <w:rPr>
          <w:rFonts w:ascii="Times New Roman" w:hAnsi="Times New Roman" w:cs="Times New Roman"/>
          <w:bCs/>
          <w:sz w:val="24"/>
          <w:szCs w:val="24"/>
          <w:lang w:val="en-US"/>
        </w:rPr>
      </w:pPr>
    </w:p>
    <w:p w:rsidR="00822681" w:rsidRPr="0016257B" w:rsidRDefault="00EA19C8" w:rsidP="0016257B">
      <w:pPr>
        <w:pStyle w:val="BodyText2"/>
        <w:jc w:val="both"/>
        <w:rPr>
          <w:rFonts w:ascii="Times New Roman" w:hAnsi="Times New Roman" w:cs="Times New Roman"/>
          <w:bCs/>
          <w:sz w:val="24"/>
          <w:szCs w:val="24"/>
          <w:lang w:val="en-US"/>
        </w:rPr>
      </w:pPr>
      <w:r>
        <w:rPr>
          <w:rFonts w:ascii="Times New Roman" w:hAnsi="Times New Roman" w:cs="Times New Roman"/>
          <w:bCs/>
          <w:sz w:val="24"/>
          <w:szCs w:val="24"/>
          <w:lang w:val="en-US"/>
        </w:rPr>
        <w:t>262.</w:t>
      </w:r>
      <w:r>
        <w:rPr>
          <w:rFonts w:ascii="Times New Roman" w:hAnsi="Times New Roman" w:cs="Times New Roman"/>
          <w:bCs/>
          <w:sz w:val="24"/>
          <w:szCs w:val="24"/>
          <w:lang w:val="en-US"/>
        </w:rPr>
        <w:tab/>
      </w:r>
      <w:r w:rsidR="006847BA" w:rsidRPr="006847BA">
        <w:rPr>
          <w:rFonts w:ascii="Times New Roman" w:hAnsi="Times New Roman" w:cs="Times New Roman"/>
          <w:bCs/>
          <w:sz w:val="24"/>
          <w:szCs w:val="24"/>
          <w:lang w:val="en-US"/>
        </w:rPr>
        <w:t>In relation to the prevention of child obesity, the Ministry of Health and Social Solidarity, aiming at protecting the sensitive student population of primary and secondary education, issued, in 2006, a Sanitary Provision “On hygiene rules and the definition of products that are distributed by public and private schools buffets” as well as a related explanatory circular.</w:t>
      </w:r>
      <w:r w:rsidR="0016257B">
        <w:rPr>
          <w:rFonts w:ascii="Times New Roman" w:hAnsi="Times New Roman" w:cs="Times New Roman"/>
          <w:bCs/>
          <w:sz w:val="24"/>
          <w:szCs w:val="24"/>
          <w:lang w:val="en-US"/>
        </w:rPr>
        <w:t xml:space="preserve"> </w:t>
      </w:r>
      <w:r w:rsidR="006847BA" w:rsidRPr="006847BA">
        <w:rPr>
          <w:rFonts w:ascii="Times New Roman" w:hAnsi="Times New Roman" w:cs="Times New Roman"/>
          <w:bCs/>
          <w:sz w:val="24"/>
          <w:szCs w:val="24"/>
          <w:lang w:val="en-US"/>
        </w:rPr>
        <w:t>The purpose of the aforementioned Ministerial Decision is to take measures to protect Public Health, to deal with obesity and diet-related chronic diseases, through the creation of a school buffet that will operate as a training means of practical application of healthy diet principles.</w:t>
      </w:r>
      <w:r w:rsidR="0016257B">
        <w:rPr>
          <w:rFonts w:ascii="Times New Roman" w:hAnsi="Times New Roman" w:cs="Times New Roman"/>
          <w:bCs/>
          <w:sz w:val="24"/>
          <w:szCs w:val="24"/>
          <w:lang w:val="en-US"/>
        </w:rPr>
        <w:t xml:space="preserve"> </w:t>
      </w:r>
      <w:r w:rsidR="006847BA" w:rsidRPr="006847BA">
        <w:rPr>
          <w:rFonts w:ascii="Times New Roman" w:hAnsi="Times New Roman" w:cs="Times New Roman"/>
          <w:bCs/>
          <w:color w:val="auto"/>
          <w:sz w:val="24"/>
          <w:szCs w:val="24"/>
          <w:lang w:val="en-US"/>
        </w:rPr>
        <w:t>The list of the aforementioned Sanitary Provision was based on the instructions and recommendations of international organizations (W.H.O. and UNICEF) and recognized scientific child organizations in Greece and abroad.</w:t>
      </w:r>
    </w:p>
    <w:p w:rsidR="006847BA" w:rsidRDefault="006847BA" w:rsidP="006847BA">
      <w:pPr>
        <w:pStyle w:val="BodyText2"/>
        <w:ind w:right="26"/>
        <w:jc w:val="both"/>
        <w:rPr>
          <w:rFonts w:ascii="Times New Roman" w:hAnsi="Times New Roman" w:cs="Times New Roman"/>
          <w:bCs/>
          <w:color w:val="auto"/>
          <w:sz w:val="24"/>
          <w:szCs w:val="24"/>
          <w:lang w:val="en-US"/>
        </w:rPr>
      </w:pPr>
    </w:p>
    <w:p w:rsidR="002712D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263.</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At the same time, a National Committee of Nutrition Policy was set up by a 2005 Ministerial Decision of the Ministry of Health and Social Solidarity. The Committee’s task is to 1) constantly make proposals to implement the nutrition policy, and 2) to conduct a sophisticated process for a national action plan on nutrition and obesity.</w:t>
      </w:r>
      <w:r w:rsidR="002712D1">
        <w:rPr>
          <w:rFonts w:ascii="Times New Roman" w:hAnsi="Times New Roman" w:cs="Times New Roman"/>
          <w:bCs/>
          <w:color w:val="auto"/>
          <w:sz w:val="24"/>
          <w:szCs w:val="24"/>
          <w:lang w:val="en-US"/>
        </w:rPr>
        <w:t xml:space="preserve"> In 2010, the National Committee for Greek Nutrition was established, with the aim of submitting proposals on measure and policies to promote Greek nutrition; the Committee has already made proposals on the prevention of child obesity. </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264.</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Finally, the Strategy and Policy Unit of the Ministry of Health and Social Solidarity has elaborated a National Action Plan on healthy nutrition and nutrition disorders, which consists of four axes: prevention – promotion of healthy nutrition options, timely diagnosis and therapy, intersectoral cooperation for a national nutrition policy, scientific support, monitoring and evaluation</w:t>
      </w:r>
    </w:p>
    <w:p w:rsidR="00822681" w:rsidRDefault="00822681">
      <w:pPr>
        <w:pStyle w:val="BodyText2"/>
        <w:widowControl/>
        <w:suppressAutoHyphens w:val="0"/>
        <w:ind w:left="360"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265.</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 xml:space="preserve">In addition, in the framework of the research activity in relation to the nutrition in our country, we are noting that significant sources of data that allow the evaluation of the nutrition situation of the Greek population are the databases of DAFNE projects (Data Food Networking) which were launched in the beginning of </w:t>
      </w:r>
      <w:r w:rsidR="00822681">
        <w:rPr>
          <w:rFonts w:ascii="Times New Roman" w:hAnsi="Times New Roman" w:cs="Times New Roman"/>
          <w:bCs/>
          <w:color w:val="auto"/>
          <w:sz w:val="24"/>
          <w:szCs w:val="24"/>
          <w:lang w:val="en-US"/>
        </w:rPr>
        <w:lastRenderedPageBreak/>
        <w:t xml:space="preserve">the ‘90s and EPIK (European Medicine and Society Project), launched in 1994.  </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266.</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 xml:space="preserve">In the framework of children’s and adolescents’ information on health and prevention issues, the Ministry of Health and Social Solidarity has launched, as of December 2007, a special information and sensitization project called “Life has colour” including also issues of healthy nutrition.  </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267.</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In 2007, the public was informed on the matter of vaccinations with the repeated broadcasting of tv messages by tv stations of nationwide and regional range. During the period 2004-2008, health education leaflets were widely distributed on the oral health, proper diet, diabetes, prevention of gynecological cancers, family planning, etc. Finally, during the above period, many scientific events were carried out under the auspices of the Ministry and were sponsored (congresses, meetings, exhibitions, etc) with a wide range of issues of preventive medicine and hygiene.</w:t>
      </w:r>
    </w:p>
    <w:p w:rsidR="00822681" w:rsidRDefault="00822681">
      <w:pPr>
        <w:pStyle w:val="BodyText"/>
        <w:ind w:right="26"/>
        <w:jc w:val="both"/>
        <w:rPr>
          <w:rFonts w:ascii="Times New Roman" w:hAnsi="Times New Roman"/>
          <w:lang w:val="en-US"/>
        </w:rPr>
      </w:pPr>
    </w:p>
    <w:p w:rsidR="00822681" w:rsidRDefault="00822681">
      <w:pPr>
        <w:pStyle w:val="BodyText"/>
        <w:ind w:right="26"/>
        <w:jc w:val="both"/>
        <w:rPr>
          <w:rFonts w:ascii="Times New Roman" w:hAnsi="Times New Roman"/>
          <w:b/>
          <w:bCs/>
          <w:lang w:val="en-US"/>
        </w:rPr>
      </w:pPr>
      <w:r>
        <w:rPr>
          <w:rFonts w:ascii="Times New Roman" w:hAnsi="Times New Roman"/>
          <w:b/>
          <w:bCs/>
          <w:u w:val="single"/>
          <w:lang w:val="en-US"/>
        </w:rPr>
        <w:t xml:space="preserve">Mental Health </w:t>
      </w:r>
      <w:r>
        <w:rPr>
          <w:rFonts w:ascii="Times New Roman" w:hAnsi="Times New Roman"/>
          <w:b/>
          <w:bCs/>
          <w:lang w:val="en-US"/>
        </w:rPr>
        <w:t>(paras. 24 and 46 of the Committee’s Concluding Observations)</w:t>
      </w:r>
    </w:p>
    <w:p w:rsidR="00822681" w:rsidRDefault="00822681">
      <w:pPr>
        <w:pStyle w:val="BodyText"/>
        <w:ind w:right="26"/>
        <w:jc w:val="both"/>
        <w:rPr>
          <w:rFonts w:ascii="Times New Roman" w:hAnsi="Times New Roman"/>
          <w:i/>
          <w:iCs/>
          <w:lang w:val="en-US"/>
        </w:rPr>
      </w:pPr>
      <w:r>
        <w:rPr>
          <w:rFonts w:ascii="Times New Roman" w:hAnsi="Times New Roman"/>
          <w:i/>
          <w:iCs/>
          <w:lang w:val="en-US"/>
        </w:rPr>
        <w:t>Mobile Mental Health Units</w:t>
      </w:r>
    </w:p>
    <w:p w:rsidR="00161C4C" w:rsidRDefault="00EA19C8" w:rsidP="0016257B">
      <w:pPr>
        <w:pStyle w:val="BodyText"/>
        <w:jc w:val="both"/>
        <w:rPr>
          <w:rFonts w:ascii="Times New Roman" w:hAnsi="Times New Roman"/>
          <w:i/>
          <w:iCs/>
          <w:lang w:val="en-US"/>
        </w:rPr>
      </w:pPr>
      <w:r>
        <w:rPr>
          <w:rFonts w:ascii="Times New Roman" w:hAnsi="Times New Roman"/>
          <w:bCs/>
          <w:lang w:val="en-US"/>
        </w:rPr>
        <w:t>268.</w:t>
      </w:r>
      <w:r>
        <w:rPr>
          <w:rFonts w:ascii="Times New Roman" w:hAnsi="Times New Roman"/>
          <w:bCs/>
          <w:lang w:val="en-US"/>
        </w:rPr>
        <w:tab/>
      </w:r>
      <w:r w:rsidR="00161C4C" w:rsidRPr="00835FC8">
        <w:rPr>
          <w:rFonts w:ascii="Times New Roman" w:hAnsi="Times New Roman"/>
          <w:bCs/>
          <w:lang w:val="en-US"/>
        </w:rPr>
        <w:t xml:space="preserve">The mission of the Mobile Units is to provide prevention and hospital treatment services at home in areas facing specific problems of access to mental health services.  In the framework of the project of reform of mental </w:t>
      </w:r>
      <w:r w:rsidR="00161C4C">
        <w:rPr>
          <w:rFonts w:ascii="Times New Roman" w:hAnsi="Times New Roman"/>
          <w:bCs/>
          <w:lang w:val="en-US"/>
        </w:rPr>
        <w:t>health</w:t>
      </w:r>
      <w:r w:rsidR="00161C4C" w:rsidRPr="00835FC8">
        <w:rPr>
          <w:rFonts w:ascii="Times New Roman" w:hAnsi="Times New Roman"/>
          <w:bCs/>
          <w:lang w:val="en-US"/>
        </w:rPr>
        <w:t xml:space="preserve"> services</w:t>
      </w:r>
      <w:r w:rsidR="00161C4C">
        <w:rPr>
          <w:rFonts w:ascii="Times New Roman" w:hAnsi="Times New Roman"/>
          <w:bCs/>
          <w:lang w:val="en-US"/>
        </w:rPr>
        <w:t xml:space="preserve"> (</w:t>
      </w:r>
      <w:r w:rsidR="00161C4C" w:rsidRPr="00835FC8">
        <w:rPr>
          <w:rFonts w:ascii="Times New Roman" w:hAnsi="Times New Roman"/>
          <w:bCs/>
          <w:lang w:val="en-US"/>
        </w:rPr>
        <w:t>“Psychargos”</w:t>
      </w:r>
      <w:r w:rsidR="00161C4C">
        <w:rPr>
          <w:rFonts w:ascii="Times New Roman" w:hAnsi="Times New Roman"/>
          <w:bCs/>
          <w:lang w:val="en-US"/>
        </w:rPr>
        <w:t>)</w:t>
      </w:r>
      <w:r w:rsidR="00161C4C" w:rsidRPr="00835FC8">
        <w:rPr>
          <w:rFonts w:ascii="Times New Roman" w:hAnsi="Times New Roman"/>
          <w:bCs/>
          <w:lang w:val="en-US"/>
        </w:rPr>
        <w:t xml:space="preserve"> </w:t>
      </w:r>
      <w:r w:rsidR="00161C4C">
        <w:rPr>
          <w:rFonts w:ascii="Times New Roman" w:hAnsi="Times New Roman"/>
          <w:bCs/>
          <w:lang w:val="en-US"/>
        </w:rPr>
        <w:t>2</w:t>
      </w:r>
      <w:r w:rsidR="00161C4C" w:rsidRPr="00ED316E">
        <w:rPr>
          <w:rFonts w:ascii="Times New Roman" w:hAnsi="Times New Roman"/>
          <w:bCs/>
          <w:lang w:val="en-US"/>
        </w:rPr>
        <w:t>7</w:t>
      </w:r>
      <w:r w:rsidR="00161C4C">
        <w:rPr>
          <w:rFonts w:ascii="Times New Roman" w:hAnsi="Times New Roman"/>
          <w:bCs/>
          <w:lang w:val="en-US"/>
        </w:rPr>
        <w:t xml:space="preserve"> mobile units have been developed. </w:t>
      </w:r>
    </w:p>
    <w:p w:rsidR="00161C4C" w:rsidRPr="009F08C2" w:rsidRDefault="00EA19C8" w:rsidP="00161C4C">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269.</w:t>
      </w:r>
      <w:r>
        <w:rPr>
          <w:rFonts w:ascii="Times New Roman" w:hAnsi="Times New Roman" w:cs="Times New Roman"/>
          <w:bCs/>
          <w:color w:val="auto"/>
          <w:sz w:val="24"/>
          <w:szCs w:val="24"/>
          <w:lang w:val="en-US"/>
        </w:rPr>
        <w:tab/>
      </w:r>
      <w:r w:rsidR="00161C4C" w:rsidRPr="008A24FB">
        <w:rPr>
          <w:rFonts w:ascii="Times New Roman" w:hAnsi="Times New Roman" w:cs="Times New Roman"/>
          <w:bCs/>
          <w:color w:val="auto"/>
          <w:sz w:val="24"/>
          <w:szCs w:val="24"/>
          <w:lang w:val="en-US"/>
        </w:rPr>
        <w:t>Th</w:t>
      </w:r>
      <w:r w:rsidR="00161C4C">
        <w:rPr>
          <w:rFonts w:ascii="Times New Roman" w:hAnsi="Times New Roman" w:cs="Times New Roman"/>
          <w:bCs/>
          <w:color w:val="auto"/>
          <w:sz w:val="24"/>
          <w:szCs w:val="24"/>
          <w:lang w:val="en-US"/>
        </w:rPr>
        <w:t xml:space="preserve">e financing of Mental Health Units appears typically reduced in 2012 by 50% in comparison to 2009 (80 million Euros) due to the fact that the available budget is 40 million Euros. Nevertheless the remaining amount will be covered </w:t>
      </w:r>
      <w:r w:rsidR="00161C4C" w:rsidRPr="009F08C2">
        <w:rPr>
          <w:rFonts w:ascii="Times New Roman" w:hAnsi="Times New Roman" w:cs="Times New Roman"/>
          <w:bCs/>
          <w:color w:val="auto"/>
          <w:sz w:val="24"/>
          <w:szCs w:val="24"/>
          <w:lang w:val="en-US"/>
        </w:rPr>
        <w:t xml:space="preserve">by means of </w:t>
      </w:r>
      <w:r w:rsidR="00161C4C">
        <w:rPr>
          <w:rFonts w:ascii="Times New Roman" w:hAnsi="Times New Roman" w:cs="Times New Roman"/>
          <w:bCs/>
          <w:color w:val="auto"/>
          <w:sz w:val="24"/>
          <w:szCs w:val="24"/>
          <w:lang w:val="en-US"/>
        </w:rPr>
        <w:t xml:space="preserve">2% </w:t>
      </w:r>
      <w:r w:rsidR="00161C4C" w:rsidRPr="009F08C2">
        <w:rPr>
          <w:rFonts w:ascii="Times New Roman" w:hAnsi="Times New Roman" w:cs="Times New Roman"/>
          <w:bCs/>
          <w:color w:val="auto"/>
          <w:sz w:val="24"/>
          <w:szCs w:val="24"/>
          <w:lang w:val="en-US"/>
        </w:rPr>
        <w:t xml:space="preserve">deduction </w:t>
      </w:r>
      <w:r w:rsidR="00161C4C">
        <w:rPr>
          <w:rFonts w:ascii="Times New Roman" w:hAnsi="Times New Roman" w:cs="Times New Roman"/>
          <w:bCs/>
          <w:color w:val="auto"/>
          <w:sz w:val="24"/>
          <w:szCs w:val="24"/>
          <w:lang w:val="en-US"/>
        </w:rPr>
        <w:t xml:space="preserve">on the amount which regards Health Sector procurement. </w:t>
      </w:r>
    </w:p>
    <w:p w:rsidR="00161C4C" w:rsidRDefault="00161C4C" w:rsidP="00161C4C">
      <w:pPr>
        <w:pStyle w:val="BodyText2"/>
        <w:ind w:right="26"/>
        <w:jc w:val="both"/>
        <w:rPr>
          <w:rFonts w:ascii="Times New Roman" w:hAnsi="Times New Roman" w:cs="Times New Roman"/>
          <w:bCs/>
          <w:color w:val="auto"/>
          <w:sz w:val="24"/>
          <w:szCs w:val="24"/>
          <w:lang w:val="en-US"/>
        </w:rPr>
      </w:pPr>
    </w:p>
    <w:p w:rsidR="00161C4C" w:rsidRDefault="00161C4C" w:rsidP="00161C4C">
      <w:pPr>
        <w:pStyle w:val="BodyText2"/>
        <w:ind w:right="26"/>
        <w:jc w:val="both"/>
        <w:rPr>
          <w:rFonts w:ascii="Times New Roman" w:hAnsi="Times New Roman" w:cs="Times New Roman"/>
          <w:bCs/>
          <w:color w:val="auto"/>
          <w:sz w:val="24"/>
          <w:szCs w:val="24"/>
          <w:lang w:val="en-US"/>
        </w:rPr>
      </w:pPr>
      <w:r w:rsidRPr="00EC4A52">
        <w:rPr>
          <w:rFonts w:ascii="Times New Roman" w:hAnsi="Times New Roman" w:cs="Times New Roman"/>
          <w:i/>
          <w:iCs/>
          <w:color w:val="auto"/>
          <w:sz w:val="24"/>
          <w:szCs w:val="24"/>
          <w:lang w:val="en-US"/>
        </w:rPr>
        <w:t>Involuntary hospitalization</w:t>
      </w:r>
      <w:r w:rsidRPr="00EC4A52" w:rsidDel="00EC4A52">
        <w:rPr>
          <w:rFonts w:ascii="Times New Roman" w:hAnsi="Times New Roman"/>
          <w:bCs/>
          <w:lang w:val="en-US"/>
        </w:rPr>
        <w:t xml:space="preserve"> </w:t>
      </w:r>
    </w:p>
    <w:p w:rsidR="00161C4C" w:rsidRPr="00822121" w:rsidRDefault="00161C4C" w:rsidP="00161C4C">
      <w:pPr>
        <w:pStyle w:val="BodyText2"/>
        <w:ind w:right="26"/>
        <w:jc w:val="both"/>
        <w:rPr>
          <w:rFonts w:ascii="Times New Roman" w:hAnsi="Times New Roman" w:cs="Times New Roman"/>
          <w:bCs/>
          <w:color w:val="auto"/>
          <w:sz w:val="16"/>
          <w:szCs w:val="16"/>
          <w:lang w:val="en-US"/>
        </w:rPr>
      </w:pPr>
    </w:p>
    <w:p w:rsidR="00161C4C" w:rsidRDefault="00EA19C8" w:rsidP="00161C4C">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270.</w:t>
      </w:r>
      <w:r>
        <w:rPr>
          <w:rFonts w:ascii="Times New Roman" w:hAnsi="Times New Roman" w:cs="Times New Roman"/>
          <w:bCs/>
          <w:color w:val="auto"/>
          <w:sz w:val="24"/>
          <w:szCs w:val="24"/>
          <w:lang w:val="en-US"/>
        </w:rPr>
        <w:tab/>
      </w:r>
      <w:r w:rsidR="00161C4C" w:rsidRPr="00242070">
        <w:rPr>
          <w:rFonts w:ascii="Times New Roman" w:hAnsi="Times New Roman" w:cs="Times New Roman"/>
          <w:bCs/>
          <w:color w:val="auto"/>
          <w:sz w:val="24"/>
          <w:szCs w:val="24"/>
          <w:lang w:val="en-US"/>
        </w:rPr>
        <w:t xml:space="preserve">Three are the </w:t>
      </w:r>
      <w:r w:rsidR="00161C4C">
        <w:rPr>
          <w:rFonts w:ascii="Times New Roman" w:hAnsi="Times New Roman" w:cs="Times New Roman"/>
          <w:bCs/>
          <w:color w:val="auto"/>
          <w:sz w:val="24"/>
          <w:szCs w:val="24"/>
          <w:lang w:val="en-US"/>
        </w:rPr>
        <w:t xml:space="preserve">basic </w:t>
      </w:r>
      <w:r w:rsidR="00161C4C" w:rsidRPr="00242070">
        <w:rPr>
          <w:rFonts w:ascii="Times New Roman" w:hAnsi="Times New Roman" w:cs="Times New Roman"/>
          <w:bCs/>
          <w:color w:val="auto"/>
          <w:sz w:val="24"/>
          <w:szCs w:val="24"/>
          <w:lang w:val="en-US"/>
        </w:rPr>
        <w:t xml:space="preserve">elements </w:t>
      </w:r>
      <w:r w:rsidR="00161C4C">
        <w:rPr>
          <w:rFonts w:ascii="Times New Roman" w:hAnsi="Times New Roman" w:cs="Times New Roman"/>
          <w:bCs/>
          <w:color w:val="auto"/>
          <w:sz w:val="24"/>
          <w:szCs w:val="24"/>
          <w:lang w:val="en-US"/>
        </w:rPr>
        <w:t xml:space="preserve">of the relevant legislation </w:t>
      </w:r>
      <w:r w:rsidR="00161C4C" w:rsidRPr="00242070">
        <w:rPr>
          <w:rFonts w:ascii="Times New Roman" w:hAnsi="Times New Roman" w:cs="Times New Roman"/>
          <w:bCs/>
          <w:color w:val="auto"/>
          <w:sz w:val="24"/>
          <w:szCs w:val="24"/>
          <w:lang w:val="en-US"/>
        </w:rPr>
        <w:t xml:space="preserve">that should </w:t>
      </w:r>
      <w:r w:rsidR="00161C4C">
        <w:rPr>
          <w:rFonts w:ascii="Times New Roman" w:hAnsi="Times New Roman" w:cs="Times New Roman"/>
          <w:bCs/>
          <w:color w:val="auto"/>
          <w:sz w:val="24"/>
          <w:szCs w:val="24"/>
          <w:lang w:val="en-US"/>
        </w:rPr>
        <w:t>b</w:t>
      </w:r>
      <w:r w:rsidR="00161C4C" w:rsidRPr="00242070">
        <w:rPr>
          <w:rFonts w:ascii="Times New Roman" w:hAnsi="Times New Roman" w:cs="Times New Roman"/>
          <w:bCs/>
          <w:color w:val="auto"/>
          <w:sz w:val="24"/>
          <w:szCs w:val="24"/>
          <w:lang w:val="en-US"/>
        </w:rPr>
        <w:t>e highlighted</w:t>
      </w:r>
      <w:r w:rsidR="00161C4C">
        <w:rPr>
          <w:rFonts w:ascii="Times New Roman" w:hAnsi="Times New Roman" w:cs="Times New Roman"/>
          <w:bCs/>
          <w:color w:val="auto"/>
          <w:sz w:val="24"/>
          <w:szCs w:val="24"/>
          <w:lang w:val="en-US"/>
        </w:rPr>
        <w:t xml:space="preserve">: the obligation to protect the patient’s dignity during </w:t>
      </w:r>
      <w:r w:rsidR="00161C4C" w:rsidRPr="00FF2F35">
        <w:rPr>
          <w:rFonts w:ascii="Times New Roman" w:hAnsi="Times New Roman" w:cs="Times New Roman"/>
          <w:bCs/>
          <w:color w:val="auto"/>
          <w:sz w:val="24"/>
          <w:szCs w:val="24"/>
          <w:lang w:val="en-US"/>
        </w:rPr>
        <w:t>in</w:t>
      </w:r>
      <w:r w:rsidR="00161C4C">
        <w:rPr>
          <w:rFonts w:ascii="Times New Roman" w:hAnsi="Times New Roman" w:cs="Times New Roman"/>
          <w:bCs/>
          <w:color w:val="auto"/>
          <w:sz w:val="24"/>
          <w:szCs w:val="24"/>
          <w:lang w:val="en-US"/>
        </w:rPr>
        <w:t>voluntary hospitalization, the definition of the terms of subjection to involuntary hospitalization, t</w:t>
      </w:r>
      <w:r w:rsidR="00161C4C" w:rsidRPr="00297588">
        <w:rPr>
          <w:rFonts w:ascii="Times New Roman" w:hAnsi="Times New Roman" w:cs="Times New Roman"/>
          <w:bCs/>
          <w:color w:val="auto"/>
          <w:sz w:val="24"/>
          <w:szCs w:val="24"/>
          <w:lang w:val="en-US"/>
        </w:rPr>
        <w:t xml:space="preserve">he judicial control of the involuntary hospitalization’s procedure. </w:t>
      </w:r>
    </w:p>
    <w:p w:rsidR="00161C4C" w:rsidRDefault="00161C4C" w:rsidP="00161C4C">
      <w:pPr>
        <w:pStyle w:val="BodyText2"/>
        <w:ind w:right="26"/>
        <w:jc w:val="both"/>
        <w:rPr>
          <w:rFonts w:ascii="Times New Roman" w:hAnsi="Times New Roman" w:cs="Times New Roman"/>
          <w:bCs/>
          <w:color w:val="auto"/>
          <w:sz w:val="24"/>
          <w:szCs w:val="24"/>
          <w:lang w:val="en-US"/>
        </w:rPr>
      </w:pPr>
    </w:p>
    <w:p w:rsidR="00161C4C" w:rsidRDefault="00EA19C8" w:rsidP="00161C4C">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271.</w:t>
      </w:r>
      <w:r>
        <w:rPr>
          <w:rFonts w:ascii="Times New Roman" w:hAnsi="Times New Roman" w:cs="Times New Roman"/>
          <w:bCs/>
          <w:color w:val="auto"/>
          <w:sz w:val="24"/>
          <w:szCs w:val="24"/>
          <w:lang w:val="en-US"/>
        </w:rPr>
        <w:tab/>
      </w:r>
      <w:r w:rsidR="00161C4C">
        <w:rPr>
          <w:rFonts w:ascii="Times New Roman" w:hAnsi="Times New Roman" w:cs="Times New Roman"/>
          <w:bCs/>
          <w:color w:val="auto"/>
          <w:sz w:val="24"/>
          <w:szCs w:val="24"/>
          <w:lang w:val="en-US"/>
        </w:rPr>
        <w:t xml:space="preserve">In addition to the above the Control Committee for the Protection of the Rights of persons with mental health disorders has been reestablished and will also monitor the </w:t>
      </w:r>
      <w:r w:rsidR="00161C4C" w:rsidRPr="00FF2F35">
        <w:rPr>
          <w:rFonts w:ascii="Times New Roman" w:hAnsi="Times New Roman" w:cs="Times New Roman"/>
          <w:bCs/>
          <w:color w:val="auto"/>
          <w:sz w:val="24"/>
          <w:szCs w:val="24"/>
          <w:lang w:val="en-US"/>
        </w:rPr>
        <w:t>involuntary hospitalization</w:t>
      </w:r>
      <w:r w:rsidR="00161C4C">
        <w:rPr>
          <w:rFonts w:ascii="Times New Roman" w:hAnsi="Times New Roman" w:cs="Times New Roman"/>
          <w:bCs/>
          <w:color w:val="auto"/>
          <w:sz w:val="24"/>
          <w:szCs w:val="24"/>
          <w:lang w:val="en-US"/>
        </w:rPr>
        <w:t xml:space="preserve"> issue. Finally a research regarding the potential need for changes in the legislation so as to fully secure the protection of</w:t>
      </w:r>
      <w:r w:rsidR="00161C4C" w:rsidRPr="00CC542A">
        <w:rPr>
          <w:rFonts w:ascii="Times New Roman" w:hAnsi="Times New Roman" w:cs="Times New Roman"/>
          <w:bCs/>
          <w:color w:val="auto"/>
          <w:sz w:val="24"/>
          <w:szCs w:val="24"/>
          <w:lang w:val="en-US"/>
        </w:rPr>
        <w:t xml:space="preserve"> </w:t>
      </w:r>
      <w:r w:rsidR="00161C4C">
        <w:rPr>
          <w:rFonts w:ascii="Times New Roman" w:hAnsi="Times New Roman" w:cs="Times New Roman"/>
          <w:bCs/>
          <w:color w:val="auto"/>
          <w:sz w:val="24"/>
          <w:szCs w:val="24"/>
          <w:lang w:val="en-US"/>
        </w:rPr>
        <w:t xml:space="preserve">persons with mental health problems is in progress by the Mental Health Department. </w:t>
      </w:r>
    </w:p>
    <w:p w:rsidR="00822681" w:rsidRDefault="00822681">
      <w:pPr>
        <w:pStyle w:val="BodyText2"/>
        <w:ind w:right="26"/>
        <w:jc w:val="both"/>
        <w:rPr>
          <w:rFonts w:ascii="Times New Roman" w:hAnsi="Times New Roman" w:cs="Times New Roman"/>
          <w:color w:val="auto"/>
          <w:lang w:val="en-US"/>
        </w:rPr>
      </w:pPr>
    </w:p>
    <w:p w:rsidR="00822681" w:rsidRDefault="00822681">
      <w:pPr>
        <w:pStyle w:val="BodyText"/>
        <w:ind w:right="26"/>
        <w:jc w:val="both"/>
        <w:rPr>
          <w:rFonts w:ascii="Times New Roman" w:hAnsi="Times New Roman"/>
          <w:b/>
          <w:bCs/>
          <w:u w:val="single"/>
          <w:lang w:val="en-US"/>
        </w:rPr>
      </w:pPr>
      <w:r>
        <w:rPr>
          <w:rFonts w:ascii="Times New Roman" w:hAnsi="Times New Roman"/>
          <w:b/>
          <w:bCs/>
          <w:u w:val="single"/>
          <w:lang w:val="en-US"/>
        </w:rPr>
        <w:t>Disease Control and Prevention Centre Actions (</w:t>
      </w:r>
      <w:r w:rsidR="00687740" w:rsidRPr="00161C4C">
        <w:rPr>
          <w:rFonts w:ascii="Times New Roman" w:hAnsi="Times New Roman"/>
          <w:b/>
          <w:bCs/>
          <w:lang w:val="en-US"/>
        </w:rPr>
        <w:t>HCDCP</w:t>
      </w:r>
      <w:r>
        <w:rPr>
          <w:rFonts w:ascii="Times New Roman" w:hAnsi="Times New Roman"/>
          <w:b/>
          <w:bCs/>
          <w:u w:val="single"/>
          <w:lang w:val="en-US"/>
        </w:rPr>
        <w:t>)</w:t>
      </w:r>
    </w:p>
    <w:p w:rsidR="00161C4C" w:rsidRDefault="00EA19C8" w:rsidP="00161C4C">
      <w:pPr>
        <w:pStyle w:val="BodyText2"/>
        <w:jc w:val="both"/>
        <w:rPr>
          <w:rFonts w:ascii="Times New Roman" w:hAnsi="Times New Roman" w:cs="Times New Roman"/>
          <w:sz w:val="24"/>
          <w:szCs w:val="24"/>
          <w:lang w:val="en-US"/>
        </w:rPr>
      </w:pPr>
      <w:r>
        <w:rPr>
          <w:rFonts w:ascii="Times New Roman" w:hAnsi="Times New Roman" w:cs="Times New Roman"/>
          <w:sz w:val="24"/>
          <w:szCs w:val="24"/>
          <w:lang w:val="en-US"/>
        </w:rPr>
        <w:t>272.</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The</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Hellenic</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Centre</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for</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Disease</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Control</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and</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Prevention</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b/>
          <w:bCs/>
          <w:sz w:val="24"/>
          <w:szCs w:val="24"/>
          <w:lang w:val="en-US"/>
        </w:rPr>
        <w:t>HCDCP</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is</w:t>
      </w:r>
      <w:r w:rsidR="00161C4C" w:rsidRPr="00161C4C">
        <w:rPr>
          <w:rFonts w:ascii="Times New Roman" w:hAnsi="Times New Roman" w:cs="Times New Roman"/>
          <w:sz w:val="24"/>
          <w:szCs w:val="24"/>
          <w:lang w:val="en-GB"/>
        </w:rPr>
        <w:t xml:space="preserve"> one of the major </w:t>
      </w:r>
      <w:r w:rsidR="00161C4C" w:rsidRPr="00161C4C">
        <w:rPr>
          <w:rFonts w:ascii="Times New Roman" w:hAnsi="Times New Roman" w:cs="Times New Roman"/>
          <w:sz w:val="24"/>
          <w:szCs w:val="24"/>
          <w:lang w:val="en-US"/>
        </w:rPr>
        <w:t>public</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health stakeholders in Greece,</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whose</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principal</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goal</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is</w:t>
      </w:r>
      <w:r w:rsidR="00161C4C" w:rsidRPr="00161C4C">
        <w:rPr>
          <w:rFonts w:ascii="Times New Roman" w:hAnsi="Times New Roman" w:cs="Times New Roman"/>
          <w:sz w:val="24"/>
          <w:szCs w:val="24"/>
          <w:lang w:val="en-GB"/>
        </w:rPr>
        <w:t xml:space="preserve"> </w:t>
      </w:r>
      <w:r w:rsidR="00161C4C" w:rsidRPr="00161C4C">
        <w:rPr>
          <w:rFonts w:ascii="Times New Roman" w:hAnsi="Times New Roman" w:cs="Times New Roman"/>
          <w:sz w:val="24"/>
          <w:szCs w:val="24"/>
          <w:lang w:val="en-US"/>
        </w:rPr>
        <w:t>the</w:t>
      </w:r>
      <w:r w:rsidR="00161C4C" w:rsidRPr="00161C4C">
        <w:rPr>
          <w:rFonts w:ascii="Times New Roman" w:hAnsi="Times New Roman" w:cs="Times New Roman"/>
          <w:sz w:val="24"/>
          <w:szCs w:val="24"/>
          <w:lang w:val="en-GB"/>
        </w:rPr>
        <w:t xml:space="preserve"> protection of the population’</w:t>
      </w:r>
      <w:r w:rsidR="00161C4C" w:rsidRPr="00161C4C">
        <w:rPr>
          <w:rFonts w:ascii="Times New Roman" w:hAnsi="Times New Roman" w:cs="Times New Roman"/>
          <w:sz w:val="24"/>
          <w:szCs w:val="24"/>
          <w:lang w:val="en-US"/>
        </w:rPr>
        <w:t xml:space="preserve">s health and the prevention of infectious and chronic diseases. </w:t>
      </w:r>
    </w:p>
    <w:p w:rsidR="00687740" w:rsidRPr="00161C4C" w:rsidRDefault="00687740" w:rsidP="00161C4C">
      <w:pPr>
        <w:pStyle w:val="BodyText2"/>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273.</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Regarding HIV/AIDS and Sexually Transmitted Infections (STIs)</w:t>
      </w:r>
      <w:r w:rsidR="0016257B">
        <w:rPr>
          <w:rFonts w:ascii="Times New Roman" w:hAnsi="Times New Roman" w:cs="Times New Roman"/>
          <w:sz w:val="24"/>
          <w:szCs w:val="24"/>
          <w:lang w:val="en-US"/>
        </w:rPr>
        <w:t xml:space="preserve"> HCDCP collaborates with the Ministry of Health</w:t>
      </w:r>
      <w:r w:rsidR="00161C4C" w:rsidRPr="00161C4C">
        <w:rPr>
          <w:rFonts w:ascii="Times New Roman" w:hAnsi="Times New Roman" w:cs="Times New Roman"/>
          <w:sz w:val="24"/>
          <w:szCs w:val="24"/>
          <w:lang w:val="en-US"/>
        </w:rPr>
        <w:t xml:space="preserve"> and NGOs, to implement the National HIV/AIDS and Sexually Transmitted Infections (STI) Action Plan for the period 2008-2012, posted at the Ministry’s website.</w:t>
      </w:r>
    </w:p>
    <w:p w:rsidR="00687740" w:rsidRPr="00161C4C" w:rsidRDefault="00687740" w:rsidP="00161C4C">
      <w:pPr>
        <w:pStyle w:val="BodyText2"/>
        <w:ind w:right="26"/>
        <w:jc w:val="both"/>
        <w:rPr>
          <w:rFonts w:ascii="Times New Roman" w:hAnsi="Times New Roman" w:cs="Times New Roman"/>
          <w:sz w:val="24"/>
          <w:szCs w:val="24"/>
          <w:lang w:val="en-US"/>
        </w:rPr>
      </w:pPr>
    </w:p>
    <w:p w:rsidR="00161C4C" w:rsidRP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274.</w:t>
      </w:r>
      <w:r>
        <w:rPr>
          <w:rFonts w:ascii="Times New Roman" w:hAnsi="Times New Roman" w:cs="Times New Roman"/>
          <w:sz w:val="24"/>
          <w:szCs w:val="24"/>
          <w:lang w:val="en-US"/>
        </w:rPr>
        <w:tab/>
      </w:r>
      <w:r w:rsidR="00687740">
        <w:rPr>
          <w:rFonts w:ascii="Times New Roman" w:hAnsi="Times New Roman" w:cs="Times New Roman"/>
          <w:sz w:val="24"/>
          <w:szCs w:val="24"/>
          <w:lang w:val="en-US"/>
        </w:rPr>
        <w:t>I</w:t>
      </w:r>
      <w:r w:rsidR="00161C4C" w:rsidRPr="00161C4C">
        <w:rPr>
          <w:rFonts w:ascii="Times New Roman" w:hAnsi="Times New Roman" w:cs="Times New Roman"/>
          <w:sz w:val="24"/>
          <w:szCs w:val="24"/>
          <w:lang w:val="en-US"/>
        </w:rPr>
        <w:t>n 2011, an unprecedented upwards shift in the number of reported HIV infections among Injecting Drug Users (IDUs) was observed. In particular, the number of HIV diagnoses in IDUs in 2011 was 15 times higher than the corresponding number for 2010 comprising approximately 25% of the total HIV reports in 2011.</w:t>
      </w:r>
    </w:p>
    <w:p w:rsidR="00687740" w:rsidRDefault="00687740" w:rsidP="00161C4C">
      <w:pPr>
        <w:pStyle w:val="BodyText2"/>
        <w:ind w:right="26"/>
        <w:jc w:val="both"/>
        <w:rPr>
          <w:rFonts w:ascii="Times New Roman" w:hAnsi="Times New Roman" w:cs="Times New Roman"/>
          <w:sz w:val="24"/>
          <w:szCs w:val="24"/>
          <w:lang w:val="en-US"/>
        </w:rPr>
      </w:pPr>
    </w:p>
    <w:p w:rsidR="00687740"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275.</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Information on the number of HIV/AIDS diagnoses and deaths is collected regularly through the compulsory HIV/AIDS reporting system by the Office for HIV/AIDS and Sexually Transmitted Infections. The data are analyzed and disseminated to the scientific audience and the general public. They are also submitted to the European Centre for Disease Prevention and Control (ECDC) on an annual basis. </w:t>
      </w:r>
    </w:p>
    <w:p w:rsidR="00687740" w:rsidRDefault="00687740"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sidRPr="00EA19C8">
        <w:rPr>
          <w:rFonts w:ascii="Times New Roman" w:hAnsi="Times New Roman" w:cs="Times New Roman"/>
          <w:bCs/>
          <w:sz w:val="24"/>
          <w:szCs w:val="24"/>
          <w:lang w:val="en-US"/>
        </w:rPr>
        <w:t>276.</w:t>
      </w:r>
      <w:r>
        <w:rPr>
          <w:rFonts w:ascii="Times New Roman" w:hAnsi="Times New Roman" w:cs="Times New Roman"/>
          <w:b/>
          <w:bCs/>
          <w:sz w:val="24"/>
          <w:szCs w:val="24"/>
          <w:lang w:val="en-US"/>
        </w:rPr>
        <w:tab/>
      </w:r>
      <w:r w:rsidR="00161C4C" w:rsidRPr="00161C4C">
        <w:rPr>
          <w:rFonts w:ascii="Times New Roman" w:hAnsi="Times New Roman" w:cs="Times New Roman"/>
          <w:b/>
          <w:bCs/>
          <w:sz w:val="24"/>
          <w:szCs w:val="24"/>
          <w:lang w:val="en-US"/>
        </w:rPr>
        <w:t>Sexually Transmitted Infections (STIs)</w:t>
      </w:r>
      <w:r w:rsidR="00161C4C" w:rsidRPr="00161C4C">
        <w:rPr>
          <w:rFonts w:ascii="Times New Roman" w:hAnsi="Times New Roman" w:cs="Times New Roman"/>
          <w:sz w:val="24"/>
          <w:szCs w:val="24"/>
          <w:lang w:val="en-US"/>
        </w:rPr>
        <w:t xml:space="preserve">: the main aims and challenges for STIs in 2012 include the improvement of partner notification services and reference laboratory services, the implementation of the proposed European response plan to multi-drug resistant gonorrhea, and the participation in European projects such as the chlamydia control project and the antenatal screening services. </w:t>
      </w:r>
    </w:p>
    <w:p w:rsidR="00687740" w:rsidRPr="00161C4C" w:rsidRDefault="00687740"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277.</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In relation to HIV/AIDS and STIs, the prevention measures generally contain actions focusing on prevention within the general population, women, young persons aged 15-24 years, homosexual/bisexual men, prostitutes, IDUs, migrants residing in detention and reception centers as well as in the community, asylum seekers and refugees. Additionally, HIV/AIDS prevention strategies include actions to prevent contamination from mother to child. </w:t>
      </w:r>
    </w:p>
    <w:p w:rsidR="00687740" w:rsidRPr="00161C4C" w:rsidRDefault="00687740"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278.</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The alliance of the </w:t>
      </w:r>
      <w:r w:rsidR="00161C4C" w:rsidRPr="00161C4C">
        <w:rPr>
          <w:rFonts w:ascii="Times New Roman" w:hAnsi="Times New Roman" w:cs="Times New Roman"/>
          <w:b/>
          <w:bCs/>
          <w:sz w:val="24"/>
          <w:szCs w:val="24"/>
          <w:lang w:val="en-US"/>
        </w:rPr>
        <w:t>ESTHER</w:t>
      </w:r>
      <w:r w:rsidR="00161C4C" w:rsidRPr="00161C4C">
        <w:rPr>
          <w:rFonts w:ascii="Times New Roman" w:hAnsi="Times New Roman" w:cs="Times New Roman"/>
          <w:sz w:val="24"/>
          <w:szCs w:val="24"/>
          <w:lang w:val="en-US"/>
        </w:rPr>
        <w:t xml:space="preserve"> European partners is a collaboration of Governments, favoring the networking of health professionals and associations from the European region. Greece is represented in the network by HCDCP. Since 2011, all medical and educational facilities of </w:t>
      </w:r>
      <w:r w:rsidR="00687740" w:rsidRPr="00161C4C">
        <w:rPr>
          <w:rFonts w:ascii="Times New Roman" w:hAnsi="Times New Roman" w:cs="Times New Roman"/>
          <w:sz w:val="24"/>
          <w:szCs w:val="24"/>
          <w:lang w:val="en-US"/>
        </w:rPr>
        <w:t xml:space="preserve">the Greek Orthodox Patriarchate of Alexandria and All Africa </w:t>
      </w:r>
      <w:r w:rsidR="00161C4C" w:rsidRPr="00161C4C">
        <w:rPr>
          <w:rFonts w:ascii="Times New Roman" w:hAnsi="Times New Roman" w:cs="Times New Roman"/>
          <w:sz w:val="24"/>
          <w:szCs w:val="24"/>
          <w:lang w:val="en-US"/>
        </w:rPr>
        <w:t xml:space="preserve">are at the disposal of HCDCP as part of the Greek contribution to the ESTHER alliance. </w:t>
      </w:r>
    </w:p>
    <w:p w:rsidR="00134A73" w:rsidRPr="00161C4C" w:rsidRDefault="00134A73" w:rsidP="00161C4C">
      <w:pPr>
        <w:pStyle w:val="BodyText2"/>
        <w:ind w:right="26"/>
        <w:jc w:val="both"/>
        <w:rPr>
          <w:rFonts w:ascii="Times New Roman" w:hAnsi="Times New Roman" w:cs="Times New Roman"/>
          <w:sz w:val="24"/>
          <w:szCs w:val="24"/>
          <w:lang w:val="en-GB"/>
        </w:rPr>
      </w:pPr>
    </w:p>
    <w:p w:rsidR="00161C4C" w:rsidRPr="00161C4C" w:rsidRDefault="00EA19C8" w:rsidP="00161C4C">
      <w:pPr>
        <w:pStyle w:val="BodyText2"/>
        <w:jc w:val="both"/>
        <w:rPr>
          <w:rFonts w:ascii="Times New Roman" w:hAnsi="Times New Roman" w:cs="Times New Roman"/>
          <w:sz w:val="24"/>
          <w:szCs w:val="24"/>
          <w:lang w:val="en-US"/>
        </w:rPr>
      </w:pPr>
      <w:r w:rsidRPr="00EA19C8">
        <w:rPr>
          <w:rFonts w:ascii="Times New Roman" w:hAnsi="Times New Roman" w:cs="Times New Roman"/>
          <w:bCs/>
          <w:sz w:val="24"/>
          <w:szCs w:val="24"/>
          <w:lang w:val="en-US"/>
        </w:rPr>
        <w:t>279.</w:t>
      </w:r>
      <w:r>
        <w:rPr>
          <w:rFonts w:ascii="Times New Roman" w:hAnsi="Times New Roman" w:cs="Times New Roman"/>
          <w:b/>
          <w:bCs/>
          <w:sz w:val="24"/>
          <w:szCs w:val="24"/>
          <w:lang w:val="en-US"/>
        </w:rPr>
        <w:tab/>
      </w:r>
      <w:r w:rsidR="00161C4C" w:rsidRPr="00161C4C">
        <w:rPr>
          <w:rFonts w:ascii="Times New Roman" w:hAnsi="Times New Roman" w:cs="Times New Roman"/>
          <w:b/>
          <w:bCs/>
          <w:sz w:val="24"/>
          <w:szCs w:val="24"/>
          <w:lang w:val="en-US"/>
        </w:rPr>
        <w:t>The Office for Viral Hepatitis</w:t>
      </w:r>
      <w:r w:rsidR="00161C4C" w:rsidRPr="00161C4C">
        <w:rPr>
          <w:rFonts w:ascii="Times New Roman" w:hAnsi="Times New Roman" w:cs="Times New Roman"/>
          <w:sz w:val="24"/>
          <w:szCs w:val="24"/>
          <w:lang w:val="en-US"/>
        </w:rPr>
        <w:t xml:space="preserve"> undertakes activities to prevent Viral Hepatitis and has intensified its efforts to inform the public, the health workers and the high risk groups. </w:t>
      </w:r>
      <w:r w:rsidR="00134A73">
        <w:rPr>
          <w:rFonts w:ascii="Times New Roman" w:hAnsi="Times New Roman" w:cs="Times New Roman"/>
          <w:sz w:val="24"/>
          <w:szCs w:val="24"/>
          <w:lang w:val="en-US"/>
        </w:rPr>
        <w:t>V</w:t>
      </w:r>
      <w:r w:rsidR="00161C4C" w:rsidRPr="00161C4C">
        <w:rPr>
          <w:rFonts w:ascii="Times New Roman" w:hAnsi="Times New Roman" w:cs="Times New Roman"/>
          <w:sz w:val="24"/>
          <w:szCs w:val="24"/>
          <w:lang w:val="en-US"/>
        </w:rPr>
        <w:t>accinations against hepatitis B have been intensified within the framework of the National Vaccination Plan as of 1/1/1998.  Pursuant to this provision, the vaccination is compulsory and concerns all babies and children who become adolescents (6</w:t>
      </w:r>
      <w:r w:rsidR="00161C4C" w:rsidRPr="00161C4C">
        <w:rPr>
          <w:rFonts w:ascii="Times New Roman" w:hAnsi="Times New Roman" w:cs="Times New Roman"/>
          <w:sz w:val="24"/>
          <w:szCs w:val="24"/>
          <w:vertAlign w:val="superscript"/>
          <w:lang w:val="en-US"/>
        </w:rPr>
        <w:t>th</w:t>
      </w:r>
      <w:r w:rsidR="00161C4C" w:rsidRPr="00161C4C">
        <w:rPr>
          <w:rFonts w:ascii="Times New Roman" w:hAnsi="Times New Roman" w:cs="Times New Roman"/>
          <w:sz w:val="24"/>
          <w:szCs w:val="24"/>
          <w:lang w:val="en-US"/>
        </w:rPr>
        <w:t xml:space="preserve"> grade of the elementary school).  Hepatitis A has also been included in the National Vaccination Plan as of 23/1/2008. Vaccinations against Hep B and Hep A are also recommended in high-risk groups.</w:t>
      </w:r>
    </w:p>
    <w:p w:rsidR="00161C4C" w:rsidRPr="00161C4C" w:rsidRDefault="00161C4C" w:rsidP="00161C4C">
      <w:pPr>
        <w:pStyle w:val="BodyText2"/>
        <w:jc w:val="both"/>
        <w:rPr>
          <w:rFonts w:ascii="Times New Roman" w:hAnsi="Times New Roman" w:cs="Times New Roman"/>
          <w:sz w:val="24"/>
          <w:szCs w:val="24"/>
          <w:lang w:val="en-US"/>
        </w:rPr>
      </w:pPr>
    </w:p>
    <w:p w:rsidR="00161C4C" w:rsidRPr="00161C4C" w:rsidRDefault="00EA19C8" w:rsidP="00161C4C">
      <w:pPr>
        <w:pStyle w:val="BodyText2"/>
        <w:jc w:val="both"/>
        <w:rPr>
          <w:rFonts w:ascii="Times New Roman" w:hAnsi="Times New Roman" w:cs="Times New Roman"/>
          <w:sz w:val="24"/>
          <w:szCs w:val="24"/>
          <w:lang w:val="en-US"/>
        </w:rPr>
      </w:pPr>
      <w:r>
        <w:rPr>
          <w:rFonts w:ascii="Times New Roman" w:hAnsi="Times New Roman" w:cs="Times New Roman"/>
          <w:sz w:val="24"/>
          <w:szCs w:val="24"/>
          <w:lang w:val="en-US"/>
        </w:rPr>
        <w:t>280.</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From 2002 to date, the Cohort Chronic Hepatitis B &amp; C study of the National Hepatitis Plan of KEELPNO has been implemented and coordinated (recording-monitoring-statistical processing of data) aiming at the continuous monitoring of the  history  of patients suffering from Chronic Hepatitis B &amp; C.  </w:t>
      </w:r>
    </w:p>
    <w:p w:rsidR="00161C4C" w:rsidRPr="00161C4C" w:rsidRDefault="00161C4C"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281.</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In March 2011, under the responsibility and coordination of HCDCP, the EU co-funded Migrant Health Care (MHC) project </w:t>
      </w:r>
      <w:r w:rsidR="00161C4C" w:rsidRPr="00161C4C">
        <w:rPr>
          <w:rFonts w:ascii="Times New Roman" w:hAnsi="Times New Roman" w:cs="Times New Roman"/>
          <w:b/>
          <w:bCs/>
          <w:sz w:val="24"/>
          <w:szCs w:val="24"/>
          <w:lang w:val="en-US"/>
        </w:rPr>
        <w:t xml:space="preserve">“Implementation of Health Care </w:t>
      </w:r>
      <w:r w:rsidR="00161C4C" w:rsidRPr="00161C4C">
        <w:rPr>
          <w:rFonts w:ascii="Times New Roman" w:hAnsi="Times New Roman" w:cs="Times New Roman"/>
          <w:b/>
          <w:bCs/>
          <w:sz w:val="24"/>
          <w:szCs w:val="24"/>
          <w:lang w:val="en-US"/>
        </w:rPr>
        <w:lastRenderedPageBreak/>
        <w:t>and Psycho-social Support Activities for Third Country Nationals that may require international protection in the area of Evros-Greece”</w:t>
      </w:r>
      <w:r w:rsidR="00161C4C" w:rsidRPr="00161C4C">
        <w:rPr>
          <w:rFonts w:ascii="Times New Roman" w:hAnsi="Times New Roman" w:cs="Times New Roman"/>
          <w:sz w:val="24"/>
          <w:szCs w:val="24"/>
          <w:lang w:val="en-US"/>
        </w:rPr>
        <w:t xml:space="preserve"> was initiated and is currently operational. The number of migrants screened at the health stations reaches 1,000-2,000 per month, varying according to the season of influx.  During their detention, besides the medical screening, blood screening for infectious diseases is performed upon consent. Vaccination records are being sought and when appropriate, adult migrants are vaccinated against Poliomyelitis; a number of children are vaccinated against Diphteria/Tetanus/ Pertussis, Poliomyelitis and Measles/Mumps/Rubella. Mantoux tests (Tuberculin Skin Tests) are also performed.</w:t>
      </w:r>
    </w:p>
    <w:p w:rsidR="00134A73" w:rsidRPr="00161C4C" w:rsidRDefault="00134A73"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282.</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Since the initiation of the project, approximately 60% of migrants sought medical care within the detention centers and 0,01% had medical conditions which required further hospitalization.</w:t>
      </w:r>
    </w:p>
    <w:p w:rsidR="00134A73" w:rsidRPr="00161C4C" w:rsidRDefault="00134A73" w:rsidP="00161C4C">
      <w:pPr>
        <w:pStyle w:val="BodyText2"/>
        <w:ind w:right="26"/>
        <w:jc w:val="both"/>
        <w:rPr>
          <w:rFonts w:ascii="Times New Roman" w:hAnsi="Times New Roman" w:cs="Times New Roman"/>
          <w:sz w:val="24"/>
          <w:szCs w:val="24"/>
          <w:lang w:val="en-US"/>
        </w:rPr>
      </w:pPr>
    </w:p>
    <w:p w:rsidR="00161C4C" w:rsidRP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283.</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Additionally, a team of medical and psychosocial workers from the </w:t>
      </w:r>
      <w:r w:rsidR="00161C4C" w:rsidRPr="00161C4C">
        <w:rPr>
          <w:rFonts w:ascii="Times New Roman" w:hAnsi="Times New Roman" w:cs="Times New Roman"/>
          <w:b/>
          <w:bCs/>
          <w:sz w:val="24"/>
          <w:szCs w:val="24"/>
          <w:lang w:val="en-US"/>
        </w:rPr>
        <w:t xml:space="preserve">office of Migrant and Mobile </w:t>
      </w:r>
      <w:r w:rsidR="0016257B" w:rsidRPr="00161C4C">
        <w:rPr>
          <w:rFonts w:ascii="Times New Roman" w:hAnsi="Times New Roman" w:cs="Times New Roman"/>
          <w:b/>
          <w:bCs/>
          <w:sz w:val="24"/>
          <w:szCs w:val="24"/>
          <w:lang w:val="en-US"/>
        </w:rPr>
        <w:t>Populations</w:t>
      </w:r>
      <w:r w:rsidR="00161C4C" w:rsidRPr="00161C4C">
        <w:rPr>
          <w:rFonts w:ascii="Times New Roman" w:hAnsi="Times New Roman" w:cs="Times New Roman"/>
          <w:b/>
          <w:bCs/>
          <w:sz w:val="24"/>
          <w:szCs w:val="24"/>
          <w:lang w:val="en-US"/>
        </w:rPr>
        <w:t>’ Health</w:t>
      </w:r>
      <w:r w:rsidR="00161C4C" w:rsidRPr="00161C4C">
        <w:rPr>
          <w:rFonts w:ascii="Times New Roman" w:hAnsi="Times New Roman" w:cs="Times New Roman"/>
          <w:sz w:val="24"/>
          <w:szCs w:val="24"/>
          <w:lang w:val="en-US"/>
        </w:rPr>
        <w:t xml:space="preserve"> performs medical and psychological screening to migrants seeking for asylum, who visit the Aliens Division of Attica.  During the first six months of operation of this project (between July and November 2011), 1289 migrants/asylum seekers were evaluated for medical and psychiatric conditions and 16 (0.012%) were referred for further specialized care.  </w:t>
      </w:r>
    </w:p>
    <w:p w:rsidR="00161C4C" w:rsidRPr="00161C4C" w:rsidRDefault="00161C4C"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284.</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In general, migrant populations are in a satisfactory general condition (the “healthy migrant effect”) upon arrival to host countries. Undocumented migrants though, are special populations subjected to various health threats. After their entry to our country, they’re usually directed to the centre of Athens, where an increasing number of IDUs, in addition to the already  increased illegal prostitution, is observed. </w:t>
      </w:r>
    </w:p>
    <w:p w:rsidR="00134A73" w:rsidRPr="00161C4C" w:rsidRDefault="00134A73"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285.</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The rise of HIV incidence between IDUs in 2011, as well as the need for provision of medical attention to these socially excluded population groups, has led HCDCP to implement the program of </w:t>
      </w:r>
      <w:r w:rsidR="00161C4C" w:rsidRPr="00161C4C">
        <w:rPr>
          <w:rFonts w:ascii="Times New Roman" w:hAnsi="Times New Roman" w:cs="Times New Roman"/>
          <w:b/>
          <w:bCs/>
          <w:sz w:val="24"/>
          <w:szCs w:val="24"/>
          <w:lang w:val="en-US"/>
        </w:rPr>
        <w:t xml:space="preserve">“Mobile Health Units”, </w:t>
      </w:r>
      <w:r w:rsidR="00161C4C" w:rsidRPr="00161C4C">
        <w:rPr>
          <w:rFonts w:ascii="Times New Roman" w:hAnsi="Times New Roman" w:cs="Times New Roman"/>
          <w:sz w:val="24"/>
          <w:szCs w:val="24"/>
          <w:lang w:val="en-US"/>
        </w:rPr>
        <w:t>which operates</w:t>
      </w:r>
      <w:r w:rsidR="00161C4C" w:rsidRPr="00161C4C">
        <w:rPr>
          <w:rFonts w:ascii="Times New Roman" w:hAnsi="Times New Roman" w:cs="Times New Roman"/>
          <w:b/>
          <w:bCs/>
          <w:sz w:val="24"/>
          <w:szCs w:val="24"/>
          <w:lang w:val="en-US"/>
        </w:rPr>
        <w:t xml:space="preserve"> </w:t>
      </w:r>
      <w:r w:rsidR="00161C4C" w:rsidRPr="00161C4C">
        <w:rPr>
          <w:rFonts w:ascii="Times New Roman" w:hAnsi="Times New Roman" w:cs="Times New Roman"/>
          <w:sz w:val="24"/>
          <w:szCs w:val="24"/>
          <w:lang w:val="en-US"/>
        </w:rPr>
        <w:t>since June 2011. These health units provide primary medical care to migrants, IDUs, homeless and socially excluded individuals, perform voluntary screening tests for HIV and blood- borne infections, undertake psychosocial support and counseling, as well as vaccinations of children and adults. They also provide mult</w:t>
      </w:r>
      <w:r w:rsidR="0016257B">
        <w:rPr>
          <w:rFonts w:ascii="Times New Roman" w:hAnsi="Times New Roman" w:cs="Times New Roman"/>
          <w:sz w:val="24"/>
          <w:szCs w:val="24"/>
          <w:lang w:val="en-US"/>
        </w:rPr>
        <w:t>i-</w:t>
      </w:r>
      <w:r w:rsidR="00161C4C" w:rsidRPr="00161C4C">
        <w:rPr>
          <w:rFonts w:ascii="Times New Roman" w:hAnsi="Times New Roman" w:cs="Times New Roman"/>
          <w:sz w:val="24"/>
          <w:szCs w:val="24"/>
          <w:lang w:val="en-US"/>
        </w:rPr>
        <w:t xml:space="preserve">lingual health information, health education and support, while they collaborate with other needle-exchange programs. </w:t>
      </w:r>
    </w:p>
    <w:p w:rsidR="00134A73" w:rsidRPr="00161C4C" w:rsidRDefault="00134A73"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GB"/>
        </w:rPr>
      </w:pPr>
      <w:r>
        <w:rPr>
          <w:rFonts w:ascii="Times New Roman" w:hAnsi="Times New Roman" w:cs="Times New Roman"/>
          <w:sz w:val="24"/>
          <w:szCs w:val="24"/>
          <w:lang w:val="en-US"/>
        </w:rPr>
        <w:t>286.</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The ultimate objective of this project is the early detection and surveillance of communicable diseases. Until today the program has assisted more than 19,000 patients in the centre of Athens (78%</w:t>
      </w:r>
      <w:r w:rsidR="0016257B">
        <w:rPr>
          <w:rFonts w:ascii="Times New Roman" w:hAnsi="Times New Roman" w:cs="Times New Roman"/>
          <w:sz w:val="24"/>
          <w:szCs w:val="24"/>
          <w:lang w:val="en-US"/>
        </w:rPr>
        <w:t xml:space="preserve"> migrants and 22% Greeks, 23% I</w:t>
      </w:r>
      <w:r w:rsidR="00161C4C" w:rsidRPr="00161C4C">
        <w:rPr>
          <w:rFonts w:ascii="Times New Roman" w:hAnsi="Times New Roman" w:cs="Times New Roman"/>
          <w:sz w:val="24"/>
          <w:szCs w:val="24"/>
          <w:lang w:val="en-US"/>
        </w:rPr>
        <w:t>DUs) and more than 1,000 voluntary blood tests for HIV and hepatitis viruses were performed.</w:t>
      </w:r>
      <w:r w:rsidR="00161C4C" w:rsidRPr="00161C4C">
        <w:rPr>
          <w:rFonts w:ascii="Times New Roman" w:hAnsi="Times New Roman" w:cs="Times New Roman"/>
          <w:sz w:val="24"/>
          <w:szCs w:val="24"/>
          <w:lang w:val="en-GB"/>
        </w:rPr>
        <w:t xml:space="preserve"> </w:t>
      </w:r>
    </w:p>
    <w:p w:rsidR="00134A73" w:rsidRPr="00161C4C" w:rsidRDefault="00134A73" w:rsidP="00161C4C">
      <w:pPr>
        <w:pStyle w:val="BodyText2"/>
        <w:ind w:right="26"/>
        <w:jc w:val="both"/>
        <w:rPr>
          <w:rFonts w:ascii="Times New Roman" w:hAnsi="Times New Roman" w:cs="Times New Roman"/>
          <w:sz w:val="24"/>
          <w:szCs w:val="24"/>
          <w:lang w:val="en-GB"/>
        </w:rPr>
      </w:pPr>
    </w:p>
    <w:p w:rsidR="00161C4C" w:rsidRP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287.</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In addition, HCDCP has implemented </w:t>
      </w:r>
      <w:r w:rsidR="00161C4C" w:rsidRPr="00161C4C">
        <w:rPr>
          <w:rFonts w:ascii="Times New Roman" w:hAnsi="Times New Roman" w:cs="Times New Roman"/>
          <w:b/>
          <w:bCs/>
          <w:sz w:val="24"/>
          <w:szCs w:val="24"/>
          <w:lang w:val="en-US"/>
        </w:rPr>
        <w:t>outreach programs</w:t>
      </w:r>
      <w:r w:rsidR="00161C4C" w:rsidRPr="00161C4C">
        <w:rPr>
          <w:rFonts w:ascii="Times New Roman" w:hAnsi="Times New Roman" w:cs="Times New Roman"/>
          <w:sz w:val="24"/>
          <w:szCs w:val="24"/>
          <w:lang w:val="en-US"/>
        </w:rPr>
        <w:t xml:space="preserve"> for migrants and individuals involved in prostitution (men, women and transgender persons). The street-work program has approached more than 2,500 migrant shops in the center of Athens and Piraeus and 417 brothels (1,117 female sex workers and 372 male). The street work teams approach individuals in their own space, distributing condoms and</w:t>
      </w:r>
      <w:r w:rsidR="00161C4C" w:rsidRPr="00161C4C" w:rsidDel="004C6C96">
        <w:rPr>
          <w:rFonts w:ascii="Times New Roman" w:hAnsi="Times New Roman" w:cs="Times New Roman"/>
          <w:sz w:val="24"/>
          <w:szCs w:val="24"/>
          <w:lang w:val="en-US"/>
        </w:rPr>
        <w:t xml:space="preserve"> </w:t>
      </w:r>
      <w:r w:rsidR="00161C4C" w:rsidRPr="00161C4C">
        <w:rPr>
          <w:rFonts w:ascii="Times New Roman" w:hAnsi="Times New Roman" w:cs="Times New Roman"/>
          <w:sz w:val="24"/>
          <w:szCs w:val="24"/>
          <w:lang w:val="en-US"/>
        </w:rPr>
        <w:t>educationa</w:t>
      </w:r>
      <w:r w:rsidR="00134A73">
        <w:rPr>
          <w:rFonts w:ascii="Times New Roman" w:hAnsi="Times New Roman" w:cs="Times New Roman"/>
          <w:sz w:val="24"/>
          <w:szCs w:val="24"/>
          <w:lang w:val="en-US"/>
        </w:rPr>
        <w:t>l material in several languages.</w:t>
      </w:r>
      <w:r w:rsidR="00161C4C" w:rsidRPr="00161C4C">
        <w:rPr>
          <w:rFonts w:ascii="Times New Roman" w:hAnsi="Times New Roman" w:cs="Times New Roman"/>
          <w:sz w:val="24"/>
          <w:szCs w:val="24"/>
          <w:lang w:val="en-US"/>
        </w:rPr>
        <w:t xml:space="preserve"> The aim of the project is to promote condom use amongst sex workers, in order to reduce HIV/AIDS and STIs, as well as provide information about the availability of health and welfare services.</w:t>
      </w:r>
    </w:p>
    <w:p w:rsidR="00161C4C" w:rsidRPr="00161C4C" w:rsidRDefault="00161C4C" w:rsidP="00161C4C">
      <w:pPr>
        <w:pStyle w:val="BodyText2"/>
        <w:ind w:right="26"/>
        <w:jc w:val="both"/>
        <w:rPr>
          <w:rFonts w:ascii="Times New Roman" w:hAnsi="Times New Roman" w:cs="Times New Roman"/>
          <w:sz w:val="24"/>
          <w:szCs w:val="24"/>
          <w:lang w:val="en-US"/>
        </w:rPr>
      </w:pPr>
    </w:p>
    <w:p w:rsidR="00161C4C" w:rsidRPr="00134A73" w:rsidRDefault="00161C4C" w:rsidP="00161C4C">
      <w:pPr>
        <w:pStyle w:val="BodyText2"/>
        <w:ind w:right="26"/>
        <w:jc w:val="both"/>
        <w:rPr>
          <w:rFonts w:ascii="Times New Roman" w:hAnsi="Times New Roman" w:cs="Times New Roman"/>
          <w:bCs/>
          <w:sz w:val="24"/>
          <w:szCs w:val="24"/>
          <w:u w:val="single"/>
          <w:lang w:val="en-US"/>
        </w:rPr>
      </w:pPr>
      <w:r w:rsidRPr="00134A73">
        <w:rPr>
          <w:rFonts w:ascii="Times New Roman" w:hAnsi="Times New Roman" w:cs="Times New Roman"/>
          <w:bCs/>
          <w:sz w:val="24"/>
          <w:szCs w:val="24"/>
          <w:u w:val="single"/>
          <w:lang w:val="en-US"/>
        </w:rPr>
        <w:t>Medical care and psychosocial support of Roma populations</w:t>
      </w:r>
    </w:p>
    <w:p w:rsidR="00134A73" w:rsidRPr="00161C4C" w:rsidRDefault="00134A73" w:rsidP="00161C4C">
      <w:pPr>
        <w:pStyle w:val="BodyText2"/>
        <w:ind w:right="26"/>
        <w:jc w:val="both"/>
        <w:rPr>
          <w:rFonts w:ascii="Times New Roman" w:hAnsi="Times New Roman" w:cs="Times New Roman"/>
          <w:b/>
          <w:bCs/>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288.</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 xml:space="preserve">During 2011, the project “Safeguarding the Promotion and the Psycho-social Support of the Greek Roma” continued to be implemented, according to which Mobile Health Units visit the settlements of various Roma populations. The above Project is implemented by the </w:t>
      </w:r>
      <w:r w:rsidR="0016257B">
        <w:rPr>
          <w:rFonts w:ascii="Times New Roman" w:hAnsi="Times New Roman" w:cs="Times New Roman"/>
          <w:sz w:val="24"/>
          <w:szCs w:val="24"/>
          <w:lang w:val="en-US"/>
        </w:rPr>
        <w:t>Ministry of Health</w:t>
      </w:r>
      <w:r w:rsidR="00161C4C" w:rsidRPr="00161C4C">
        <w:rPr>
          <w:rFonts w:ascii="Times New Roman" w:hAnsi="Times New Roman" w:cs="Times New Roman"/>
          <w:sz w:val="24"/>
          <w:szCs w:val="24"/>
          <w:lang w:val="en-US"/>
        </w:rPr>
        <w:t xml:space="preserve"> and regional Directorates of Health, in collaboration with the Health Regional Systems, HCDCP and NGOs.</w:t>
      </w:r>
    </w:p>
    <w:p w:rsidR="00134A73" w:rsidRPr="00161C4C" w:rsidRDefault="00134A73"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289.</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The purpose of these interventions is among othe</w:t>
      </w:r>
      <w:r w:rsidR="0016257B">
        <w:rPr>
          <w:rFonts w:ascii="Times New Roman" w:hAnsi="Times New Roman" w:cs="Times New Roman"/>
          <w:sz w:val="24"/>
          <w:szCs w:val="24"/>
          <w:lang w:val="en-US"/>
        </w:rPr>
        <w:t>rs to examine and vaccinate Roma</w:t>
      </w:r>
      <w:r w:rsidR="00161C4C" w:rsidRPr="00161C4C">
        <w:rPr>
          <w:rFonts w:ascii="Times New Roman" w:hAnsi="Times New Roman" w:cs="Times New Roman"/>
          <w:sz w:val="24"/>
          <w:szCs w:val="24"/>
          <w:lang w:val="en-US"/>
        </w:rPr>
        <w:t xml:space="preserve"> children, provide assistance with coping with social problems and record immunizations. Vaccinations follow the recommendations of the National Vaccination Plan.  </w:t>
      </w:r>
    </w:p>
    <w:p w:rsidR="00134A73" w:rsidRPr="00161C4C" w:rsidRDefault="00134A73"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290.</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Up to date, vaccinations have been performed to children in all settlements.  The booster doses are usually provided by local authorities (e.g. health centres, prefectures, etc), in cooperation with the coordinating Directorates of the MoH. In each intervention, the health records of children are updated or new ones are issued for newborns and/or children that have lost them.</w:t>
      </w:r>
    </w:p>
    <w:p w:rsidR="00134A73" w:rsidRPr="00161C4C" w:rsidRDefault="00134A73" w:rsidP="00161C4C">
      <w:pPr>
        <w:pStyle w:val="BodyText2"/>
        <w:ind w:right="26"/>
        <w:jc w:val="both"/>
        <w:rPr>
          <w:rFonts w:ascii="Times New Roman" w:hAnsi="Times New Roman" w:cs="Times New Roman"/>
          <w:sz w:val="24"/>
          <w:szCs w:val="24"/>
          <w:lang w:val="en-US"/>
        </w:rPr>
      </w:pPr>
    </w:p>
    <w:p w:rsidR="00161C4C" w:rsidRDefault="00EA19C8"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291.</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In addition, the prefectures and HCDCP are responsible for maintaining medical and vaccination records. In 2011, a total of 305 vaccinations for poliomyelitis, tetanus, diphtheria, measles, mumps, rubella, varicella, hepatitis B and A and haemophilus influenza b were realized, in accordance with the National Vaccination Plan.</w:t>
      </w:r>
    </w:p>
    <w:p w:rsidR="00134A73" w:rsidRPr="00161C4C" w:rsidRDefault="00134A73" w:rsidP="00161C4C">
      <w:pPr>
        <w:pStyle w:val="BodyText2"/>
        <w:ind w:right="26"/>
        <w:jc w:val="both"/>
        <w:rPr>
          <w:rFonts w:ascii="Times New Roman" w:hAnsi="Times New Roman" w:cs="Times New Roman"/>
          <w:sz w:val="24"/>
          <w:szCs w:val="24"/>
          <w:lang w:val="en-US"/>
        </w:rPr>
      </w:pPr>
    </w:p>
    <w:p w:rsidR="00161C4C" w:rsidRPr="00134A73" w:rsidRDefault="00161C4C" w:rsidP="00161C4C">
      <w:pPr>
        <w:pStyle w:val="BodyText2"/>
        <w:ind w:right="26"/>
        <w:jc w:val="both"/>
        <w:rPr>
          <w:rFonts w:ascii="Times New Roman" w:hAnsi="Times New Roman" w:cs="Times New Roman"/>
          <w:sz w:val="24"/>
          <w:szCs w:val="24"/>
          <w:u w:val="single"/>
          <w:lang w:val="en-GB"/>
        </w:rPr>
      </w:pPr>
      <w:r w:rsidRPr="00134A73">
        <w:rPr>
          <w:rFonts w:ascii="Times New Roman" w:hAnsi="Times New Roman" w:cs="Times New Roman"/>
          <w:bCs/>
          <w:sz w:val="24"/>
          <w:szCs w:val="24"/>
          <w:u w:val="single"/>
          <w:lang w:val="en-US"/>
        </w:rPr>
        <w:t>Victims</w:t>
      </w:r>
      <w:r w:rsidRPr="00134A73">
        <w:rPr>
          <w:rFonts w:ascii="Times New Roman" w:hAnsi="Times New Roman" w:cs="Times New Roman"/>
          <w:bCs/>
          <w:sz w:val="24"/>
          <w:szCs w:val="24"/>
          <w:u w:val="single"/>
          <w:lang w:val="en-GB"/>
        </w:rPr>
        <w:t xml:space="preserve"> </w:t>
      </w:r>
      <w:r w:rsidRPr="00134A73">
        <w:rPr>
          <w:rFonts w:ascii="Times New Roman" w:hAnsi="Times New Roman" w:cs="Times New Roman"/>
          <w:bCs/>
          <w:sz w:val="24"/>
          <w:szCs w:val="24"/>
          <w:u w:val="single"/>
          <w:lang w:val="en-US"/>
        </w:rPr>
        <w:t>of</w:t>
      </w:r>
      <w:r w:rsidRPr="00134A73">
        <w:rPr>
          <w:rFonts w:ascii="Times New Roman" w:hAnsi="Times New Roman" w:cs="Times New Roman"/>
          <w:bCs/>
          <w:sz w:val="24"/>
          <w:szCs w:val="24"/>
          <w:u w:val="single"/>
          <w:lang w:val="en-GB"/>
        </w:rPr>
        <w:t xml:space="preserve"> </w:t>
      </w:r>
      <w:r w:rsidRPr="00134A73">
        <w:rPr>
          <w:rFonts w:ascii="Times New Roman" w:hAnsi="Times New Roman" w:cs="Times New Roman"/>
          <w:bCs/>
          <w:sz w:val="24"/>
          <w:szCs w:val="24"/>
          <w:u w:val="single"/>
          <w:lang w:val="en-US"/>
        </w:rPr>
        <w:t>Trafficking</w:t>
      </w:r>
      <w:r w:rsidRPr="00134A73">
        <w:rPr>
          <w:rFonts w:ascii="Times New Roman" w:hAnsi="Times New Roman" w:cs="Times New Roman"/>
          <w:bCs/>
          <w:sz w:val="24"/>
          <w:szCs w:val="24"/>
          <w:u w:val="single"/>
          <w:lang w:val="en-GB"/>
        </w:rPr>
        <w:t xml:space="preserve"> </w:t>
      </w:r>
    </w:p>
    <w:p w:rsidR="00161C4C" w:rsidRPr="00161C4C" w:rsidRDefault="00EA19C8" w:rsidP="00161C4C">
      <w:pPr>
        <w:pStyle w:val="BodyText2"/>
        <w:jc w:val="both"/>
        <w:rPr>
          <w:rFonts w:ascii="Times New Roman" w:hAnsi="Times New Roman" w:cs="Times New Roman"/>
          <w:sz w:val="24"/>
          <w:szCs w:val="24"/>
          <w:lang w:val="en-US"/>
        </w:rPr>
      </w:pPr>
      <w:r>
        <w:rPr>
          <w:rFonts w:ascii="Times New Roman" w:hAnsi="Times New Roman" w:cs="Times New Roman"/>
          <w:sz w:val="24"/>
          <w:szCs w:val="24"/>
          <w:lang w:val="en-US"/>
        </w:rPr>
        <w:t>292.</w:t>
      </w:r>
      <w:r>
        <w:rPr>
          <w:rFonts w:ascii="Times New Roman" w:hAnsi="Times New Roman" w:cs="Times New Roman"/>
          <w:sz w:val="24"/>
          <w:szCs w:val="24"/>
          <w:lang w:val="en-US"/>
        </w:rPr>
        <w:tab/>
      </w:r>
      <w:r w:rsidR="00161C4C" w:rsidRPr="00161C4C">
        <w:rPr>
          <w:rFonts w:ascii="Times New Roman" w:hAnsi="Times New Roman" w:cs="Times New Roman"/>
          <w:sz w:val="24"/>
          <w:szCs w:val="24"/>
          <w:lang w:val="en-US"/>
        </w:rPr>
        <w:t>With regard to the victims of trafficking, an office for the study and fight against trafficking was established in HCDCP in 2008 and was functional until 2010. Since 2010, the activities of HCDCP regarding victims of trafficking are undertaken by the office of Migrant and Mobile Populations’ Health.</w:t>
      </w:r>
    </w:p>
    <w:p w:rsidR="00822681" w:rsidRDefault="00822681">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w:t>
      </w:r>
    </w:p>
    <w:p w:rsidR="00822681" w:rsidRDefault="00822681">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Actions of the Organisation against Drugs</w:t>
      </w:r>
      <w:r w:rsidR="00932912">
        <w:rPr>
          <w:rFonts w:ascii="Times New Roman" w:hAnsi="Times New Roman" w:cs="Times New Roman"/>
          <w:b/>
          <w:color w:val="auto"/>
          <w:sz w:val="24"/>
          <w:szCs w:val="24"/>
          <w:lang w:val="en-US"/>
        </w:rPr>
        <w:t xml:space="preserve"> (OKANA)</w:t>
      </w:r>
    </w:p>
    <w:p w:rsidR="00822681" w:rsidRDefault="00822681">
      <w:pPr>
        <w:pStyle w:val="BodyText2"/>
        <w:ind w:right="26"/>
        <w:jc w:val="both"/>
        <w:rPr>
          <w:rFonts w:ascii="Times New Roman" w:hAnsi="Times New Roman" w:cs="Times New Roman"/>
          <w:color w:val="auto"/>
          <w:sz w:val="24"/>
          <w:szCs w:val="24"/>
          <w:lang w:val="en-US"/>
        </w:rPr>
      </w:pPr>
    </w:p>
    <w:p w:rsidR="00134A73" w:rsidRPr="00835FC8" w:rsidRDefault="00EA19C8" w:rsidP="00134A73">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293.</w:t>
      </w:r>
      <w:r>
        <w:rPr>
          <w:rFonts w:ascii="Times New Roman" w:hAnsi="Times New Roman" w:cs="Times New Roman"/>
          <w:bCs/>
          <w:color w:val="auto"/>
          <w:sz w:val="24"/>
          <w:szCs w:val="24"/>
          <w:lang w:val="en-US"/>
        </w:rPr>
        <w:tab/>
      </w:r>
      <w:r w:rsidR="00134A73">
        <w:rPr>
          <w:rFonts w:ascii="Times New Roman" w:hAnsi="Times New Roman" w:cs="Times New Roman"/>
          <w:bCs/>
          <w:color w:val="auto"/>
          <w:sz w:val="24"/>
          <w:szCs w:val="24"/>
          <w:lang w:val="en-US"/>
        </w:rPr>
        <w:t>Since 2010</w:t>
      </w:r>
      <w:r w:rsidR="00134A73" w:rsidRPr="00835FC8">
        <w:rPr>
          <w:rFonts w:ascii="Times New Roman" w:hAnsi="Times New Roman" w:cs="Times New Roman"/>
          <w:bCs/>
          <w:color w:val="auto"/>
          <w:sz w:val="24"/>
          <w:szCs w:val="24"/>
          <w:lang w:val="en-US"/>
        </w:rPr>
        <w:t xml:space="preserve">, OKANA has created </w:t>
      </w:r>
      <w:r w:rsidR="00134A73">
        <w:rPr>
          <w:rFonts w:ascii="Times New Roman" w:hAnsi="Times New Roman" w:cs="Times New Roman"/>
          <w:bCs/>
          <w:color w:val="auto"/>
          <w:sz w:val="24"/>
          <w:szCs w:val="24"/>
          <w:lang w:val="en-US"/>
        </w:rPr>
        <w:t xml:space="preserve">twenty nine </w:t>
      </w:r>
      <w:r w:rsidR="00134A73" w:rsidRPr="00835FC8">
        <w:rPr>
          <w:rFonts w:ascii="Times New Roman" w:hAnsi="Times New Roman" w:cs="Times New Roman"/>
          <w:bCs/>
          <w:color w:val="auto"/>
          <w:sz w:val="24"/>
          <w:szCs w:val="24"/>
          <w:lang w:val="en-US"/>
        </w:rPr>
        <w:t>(</w:t>
      </w:r>
      <w:r w:rsidR="00134A73">
        <w:rPr>
          <w:rFonts w:ascii="Times New Roman" w:hAnsi="Times New Roman" w:cs="Times New Roman"/>
          <w:bCs/>
          <w:color w:val="auto"/>
          <w:sz w:val="24"/>
          <w:szCs w:val="24"/>
          <w:lang w:val="en-US"/>
        </w:rPr>
        <w:t>29</w:t>
      </w:r>
      <w:r w:rsidR="00134A73" w:rsidRPr="00835FC8">
        <w:rPr>
          <w:rFonts w:ascii="Times New Roman" w:hAnsi="Times New Roman" w:cs="Times New Roman"/>
          <w:bCs/>
          <w:color w:val="auto"/>
          <w:sz w:val="24"/>
          <w:szCs w:val="24"/>
          <w:lang w:val="en-US"/>
        </w:rPr>
        <w:t>) new Substitution Units, as outpatients’ clinics</w:t>
      </w:r>
      <w:r w:rsidR="00134A73" w:rsidRPr="00835FC8">
        <w:rPr>
          <w:rFonts w:ascii="Times New Roman" w:hAnsi="Times New Roman" w:cs="Times New Roman"/>
          <w:bCs/>
          <w:color w:val="auto"/>
          <w:sz w:val="24"/>
          <w:szCs w:val="24"/>
          <w:lang w:val="en-GB"/>
        </w:rPr>
        <w:t xml:space="preserve">, </w:t>
      </w:r>
      <w:r w:rsidR="00134A73">
        <w:rPr>
          <w:rFonts w:ascii="Times New Roman" w:hAnsi="Times New Roman" w:cs="Times New Roman"/>
          <w:bCs/>
          <w:color w:val="auto"/>
          <w:sz w:val="24"/>
          <w:szCs w:val="24"/>
          <w:lang w:val="en-GB"/>
        </w:rPr>
        <w:t>within public hospitals as it was provided by the ministerial decree (No 123148) issued on 2/12/2011 by the Minister of Health and Social Welfare. The total number of substitution units is now 54, whereas by the end of 2009 the total number was 24. OKANA’s substitution programme is addressed to opioid dependent persons over</w:t>
      </w:r>
      <w:r w:rsidR="00134A73" w:rsidRPr="00835FC8">
        <w:rPr>
          <w:rFonts w:ascii="Times New Roman" w:hAnsi="Times New Roman" w:cs="Times New Roman"/>
          <w:bCs/>
          <w:color w:val="auto"/>
          <w:sz w:val="24"/>
          <w:szCs w:val="24"/>
          <w:lang w:val="en-US"/>
        </w:rPr>
        <w:t xml:space="preserve"> 20 years</w:t>
      </w:r>
      <w:r w:rsidR="00134A73" w:rsidRPr="002D41FD">
        <w:rPr>
          <w:rFonts w:ascii="Times New Roman" w:hAnsi="Times New Roman" w:cs="Times New Roman"/>
          <w:bCs/>
          <w:color w:val="auto"/>
          <w:sz w:val="24"/>
          <w:szCs w:val="24"/>
          <w:lang w:val="en-US"/>
        </w:rPr>
        <w:t xml:space="preserve"> </w:t>
      </w:r>
      <w:r w:rsidR="00134A73" w:rsidRPr="00835FC8">
        <w:rPr>
          <w:rFonts w:ascii="Times New Roman" w:hAnsi="Times New Roman" w:cs="Times New Roman"/>
          <w:bCs/>
          <w:color w:val="auto"/>
          <w:sz w:val="24"/>
          <w:szCs w:val="24"/>
          <w:lang w:val="en-US"/>
        </w:rPr>
        <w:t>old</w:t>
      </w:r>
      <w:r w:rsidR="00134A73">
        <w:rPr>
          <w:rFonts w:ascii="Times New Roman" w:hAnsi="Times New Roman" w:cs="Times New Roman"/>
          <w:bCs/>
          <w:color w:val="auto"/>
          <w:sz w:val="24"/>
          <w:szCs w:val="24"/>
          <w:lang w:val="en-US"/>
        </w:rPr>
        <w:t xml:space="preserve"> and nowadays provides treatment services to 7.422 individuals all over the country. The number of treated patients has been increased by 56% since March 2010 (4.771 patients).</w:t>
      </w:r>
      <w:r w:rsidR="00134A73" w:rsidRPr="00835FC8">
        <w:rPr>
          <w:rFonts w:ascii="Times New Roman" w:hAnsi="Times New Roman" w:cs="Times New Roman"/>
          <w:bCs/>
          <w:color w:val="auto"/>
          <w:sz w:val="24"/>
          <w:szCs w:val="24"/>
          <w:lang w:val="en-US"/>
        </w:rPr>
        <w:t xml:space="preserve"> </w:t>
      </w:r>
      <w:r w:rsidR="00134A73">
        <w:rPr>
          <w:rFonts w:ascii="Times New Roman" w:hAnsi="Times New Roman" w:cs="Times New Roman"/>
          <w:bCs/>
          <w:color w:val="auto"/>
          <w:sz w:val="24"/>
          <w:szCs w:val="24"/>
          <w:lang w:val="en-US"/>
        </w:rPr>
        <w:t xml:space="preserve">The waiting list in March 2010 comprised 5.558 individuals, whereas now it comprises 3.048 individuals waiting for substitution treatment. The waiting list is mostly concentrated in </w:t>
      </w:r>
      <w:smartTag w:uri="urn:schemas-microsoft-com:office:smarttags" w:element="place">
        <w:r w:rsidR="00134A73">
          <w:rPr>
            <w:rFonts w:ascii="Times New Roman" w:hAnsi="Times New Roman" w:cs="Times New Roman"/>
            <w:bCs/>
            <w:color w:val="auto"/>
            <w:sz w:val="24"/>
            <w:szCs w:val="24"/>
            <w:lang w:val="en-US"/>
          </w:rPr>
          <w:t>Attica</w:t>
        </w:r>
      </w:smartTag>
      <w:r w:rsidR="00134A73">
        <w:rPr>
          <w:rFonts w:ascii="Times New Roman" w:hAnsi="Times New Roman" w:cs="Times New Roman"/>
          <w:bCs/>
          <w:color w:val="auto"/>
          <w:sz w:val="24"/>
          <w:szCs w:val="24"/>
          <w:lang w:val="en-US"/>
        </w:rPr>
        <w:t xml:space="preserve"> (2.761 individuals), where also 8 more units are foreseen according to the aforementioned decree. Extension of OKANA’s substitution network was achieved with the already existing human resources, since the state budget for OKANA has been substantially reduced during the last 2 years. Moreover, OKANA in cooperation with the local communities runs and supervises scientifically t</w:t>
      </w:r>
      <w:r w:rsidR="00134A73" w:rsidRPr="00835FC8">
        <w:rPr>
          <w:rFonts w:ascii="Times New Roman" w:hAnsi="Times New Roman" w:cs="Times New Roman"/>
          <w:bCs/>
          <w:color w:val="auto"/>
          <w:sz w:val="24"/>
          <w:szCs w:val="24"/>
          <w:lang w:val="en-US"/>
        </w:rPr>
        <w:t xml:space="preserve">he Prevention Centres </w:t>
      </w:r>
      <w:r w:rsidR="00134A73">
        <w:rPr>
          <w:rFonts w:ascii="Times New Roman" w:hAnsi="Times New Roman" w:cs="Times New Roman"/>
          <w:bCs/>
          <w:color w:val="auto"/>
          <w:sz w:val="24"/>
          <w:szCs w:val="24"/>
          <w:lang w:val="en-US"/>
        </w:rPr>
        <w:t xml:space="preserve">network (71 Prevention Centers) all over Greece. </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822681">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Health Care</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sz w:val="24"/>
          <w:szCs w:val="24"/>
          <w:lang/>
        </w:rPr>
      </w:pPr>
      <w:r>
        <w:rPr>
          <w:rFonts w:ascii="Times New Roman" w:hAnsi="Times New Roman" w:cs="Times New Roman"/>
          <w:bCs/>
          <w:sz w:val="24"/>
          <w:szCs w:val="24"/>
          <w:lang w:val="en-US"/>
        </w:rPr>
        <w:t>294.</w:t>
      </w:r>
      <w:r>
        <w:rPr>
          <w:rFonts w:ascii="Times New Roman" w:hAnsi="Times New Roman" w:cs="Times New Roman"/>
          <w:bCs/>
          <w:sz w:val="24"/>
          <w:szCs w:val="24"/>
          <w:lang w:val="en-US"/>
        </w:rPr>
        <w:tab/>
      </w:r>
      <w:r w:rsidR="00822681">
        <w:rPr>
          <w:rFonts w:ascii="Times New Roman" w:hAnsi="Times New Roman" w:cs="Times New Roman"/>
          <w:bCs/>
          <w:sz w:val="24"/>
          <w:szCs w:val="24"/>
          <w:lang w:val="en-US"/>
        </w:rPr>
        <w:t>L</w:t>
      </w:r>
      <w:r w:rsidR="00822681">
        <w:rPr>
          <w:rFonts w:ascii="Times New Roman" w:hAnsi="Times New Roman" w:cs="Times New Roman"/>
          <w:bCs/>
          <w:sz w:val="24"/>
          <w:szCs w:val="24"/>
          <w:lang/>
        </w:rPr>
        <w:t xml:space="preserve">aws 3863/2010 and 3918/2011 promoted the consolidation, organization and functional integration of the system for the provision of Primary Health Care services. </w:t>
      </w:r>
      <w:r w:rsidR="00822681">
        <w:rPr>
          <w:rFonts w:ascii="Times New Roman" w:hAnsi="Times New Roman" w:cs="Times New Roman"/>
          <w:bCs/>
          <w:sz w:val="24"/>
          <w:szCs w:val="24"/>
          <w:lang/>
        </w:rPr>
        <w:br/>
        <w:t xml:space="preserve">Specifically, an Inter-ministerial Coordination Committee has been established, responsible for developing an institutional framework for the Unified Health Care System, that will include all health units of the National Health System, as well as the relevant units which operated within social security agencies. </w:t>
      </w:r>
    </w:p>
    <w:p w:rsidR="004C02BF" w:rsidRPr="00932912" w:rsidRDefault="00822681" w:rsidP="00932912">
      <w:pPr>
        <w:pStyle w:val="BodyText2"/>
        <w:ind w:right="26"/>
        <w:jc w:val="both"/>
        <w:rPr>
          <w:rFonts w:ascii="Times New Roman" w:hAnsi="Times New Roman" w:cs="Times New Roman"/>
          <w:bCs/>
          <w:sz w:val="24"/>
          <w:szCs w:val="24"/>
          <w:lang/>
        </w:rPr>
      </w:pPr>
      <w:r>
        <w:rPr>
          <w:rFonts w:ascii="Times New Roman" w:hAnsi="Times New Roman" w:cs="Times New Roman"/>
          <w:bCs/>
          <w:sz w:val="24"/>
          <w:szCs w:val="24"/>
          <w:lang w:val="en-GB"/>
        </w:rPr>
        <w:br/>
      </w:r>
      <w:r w:rsidR="00EA19C8">
        <w:rPr>
          <w:rFonts w:ascii="Times New Roman" w:hAnsi="Times New Roman" w:cs="Times New Roman"/>
          <w:bCs/>
          <w:sz w:val="24"/>
          <w:szCs w:val="24"/>
          <w:lang w:val="en-GB"/>
        </w:rPr>
        <w:t>295.</w:t>
      </w:r>
      <w:r w:rsidR="00EA19C8">
        <w:rPr>
          <w:rFonts w:ascii="Times New Roman" w:hAnsi="Times New Roman" w:cs="Times New Roman"/>
          <w:bCs/>
          <w:sz w:val="24"/>
          <w:szCs w:val="24"/>
          <w:lang w:val="en-GB"/>
        </w:rPr>
        <w:tab/>
      </w:r>
      <w:r w:rsidR="004C02BF" w:rsidRPr="004C02BF">
        <w:rPr>
          <w:rFonts w:ascii="Times New Roman" w:hAnsi="Times New Roman" w:cs="Times New Roman"/>
          <w:bCs/>
          <w:sz w:val="24"/>
          <w:szCs w:val="24"/>
          <w:lang/>
        </w:rPr>
        <w:t>It has also been decided and initiated the establishment of EOPYY (National Organization for the Provision of Health Services) whose objective is, inter alia, the operational coordination and cooperation of agencies that constitute the network of Primary Health Care, the adoption of quality and effectiveness standards for the provision of health services, the management and control of funding, the establishment of criteria and conditions with regard to the conclusion of contracts with public bodies and the private sector, as well as with doctors etc.</w:t>
      </w:r>
      <w:r w:rsidR="00932912">
        <w:rPr>
          <w:rFonts w:ascii="Times New Roman" w:hAnsi="Times New Roman" w:cs="Times New Roman"/>
          <w:bCs/>
          <w:sz w:val="24"/>
          <w:szCs w:val="24"/>
          <w:lang/>
        </w:rPr>
        <w:t xml:space="preserve"> </w:t>
      </w:r>
      <w:r w:rsidR="004C02BF" w:rsidRPr="004C02BF">
        <w:rPr>
          <w:rFonts w:ascii="Times New Roman" w:hAnsi="Times New Roman" w:cs="Times New Roman"/>
          <w:bCs/>
          <w:sz w:val="24"/>
          <w:szCs w:val="24"/>
          <w:lang w:val="en-US"/>
        </w:rPr>
        <w:t xml:space="preserve">The EOPYY started operating on 1.1.2012. </w:t>
      </w:r>
    </w:p>
    <w:p w:rsidR="004C02BF" w:rsidRPr="004C02BF" w:rsidRDefault="004C02BF" w:rsidP="004C02BF">
      <w:pPr>
        <w:pStyle w:val="BodyText2"/>
        <w:rPr>
          <w:bCs/>
          <w:lang w:val="en-GB"/>
        </w:rPr>
      </w:pPr>
    </w:p>
    <w:p w:rsidR="004C02BF" w:rsidRPr="004C02BF" w:rsidRDefault="004C02BF" w:rsidP="004C02BF">
      <w:pPr>
        <w:pStyle w:val="BodyText2"/>
        <w:rPr>
          <w:rFonts w:ascii="Times New Roman" w:hAnsi="Times New Roman" w:cs="Times New Roman"/>
          <w:b/>
          <w:bCs/>
          <w:sz w:val="24"/>
          <w:szCs w:val="24"/>
          <w:lang w:val="en-US"/>
        </w:rPr>
      </w:pPr>
      <w:r w:rsidRPr="004C02BF">
        <w:rPr>
          <w:rFonts w:ascii="Times New Roman" w:hAnsi="Times New Roman" w:cs="Times New Roman"/>
          <w:b/>
          <w:bCs/>
          <w:sz w:val="24"/>
          <w:szCs w:val="24"/>
          <w:lang w:val="en-US"/>
        </w:rPr>
        <w:t>Access to Health Services</w:t>
      </w:r>
    </w:p>
    <w:p w:rsidR="00822681" w:rsidRDefault="00822681">
      <w:pPr>
        <w:pStyle w:val="BodyText2"/>
        <w:ind w:right="26"/>
        <w:jc w:val="both"/>
        <w:rPr>
          <w:rFonts w:ascii="Times New Roman" w:hAnsi="Times New Roman" w:cs="Times New Roman"/>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296.</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Responding to its obligations deriving from applicable international treaties on the access to health services of citizens, mainly persons belonging to vulnerable groups (both Greek and foreign nationals), Greece has laid down a number of relevant provisions, including the following:</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822681">
      <w:pPr>
        <w:pStyle w:val="BodyText2"/>
        <w:widowControl/>
        <w:numPr>
          <w:ilvl w:val="0"/>
          <w:numId w:val="8"/>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color w:val="auto"/>
          <w:sz w:val="24"/>
          <w:szCs w:val="24"/>
          <w:lang w:val="en-US"/>
        </w:rPr>
        <w:t>Law 2955/2001, article 11 (e):</w:t>
      </w:r>
      <w:r>
        <w:rPr>
          <w:rFonts w:ascii="Times New Roman" w:hAnsi="Times New Roman" w:cs="Times New Roman"/>
          <w:bCs/>
          <w:color w:val="auto"/>
          <w:sz w:val="24"/>
          <w:szCs w:val="24"/>
          <w:lang w:val="en-US"/>
        </w:rPr>
        <w:t xml:space="preserve"> free hospital and medical care of foreign nationals – both documented and undocumented– who suffer from infectious diseases;</w:t>
      </w:r>
    </w:p>
    <w:p w:rsidR="00822681" w:rsidRDefault="00822681">
      <w:pPr>
        <w:pStyle w:val="BodyText2"/>
        <w:widowControl/>
        <w:numPr>
          <w:ilvl w:val="0"/>
          <w:numId w:val="8"/>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color w:val="auto"/>
          <w:sz w:val="24"/>
          <w:szCs w:val="24"/>
          <w:lang w:val="en-US"/>
        </w:rPr>
        <w:t>Presidential Decree 220/2007, articles 8, 12 and 14:</w:t>
      </w:r>
      <w:r>
        <w:rPr>
          <w:rFonts w:ascii="Times New Roman" w:hAnsi="Times New Roman" w:cs="Times New Roman"/>
          <w:bCs/>
          <w:color w:val="auto"/>
          <w:sz w:val="24"/>
          <w:szCs w:val="24"/>
          <w:lang w:val="en-US"/>
        </w:rPr>
        <w:t xml:space="preserve"> free hospital and medical care of asylum seekers and financially weak refugees.</w:t>
      </w:r>
    </w:p>
    <w:p w:rsidR="00822681" w:rsidRDefault="00822681">
      <w:pPr>
        <w:pStyle w:val="BodyText2"/>
        <w:widowControl/>
        <w:numPr>
          <w:ilvl w:val="0"/>
          <w:numId w:val="8"/>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color w:val="auto"/>
          <w:sz w:val="24"/>
          <w:szCs w:val="24"/>
          <w:lang w:val="en-US"/>
        </w:rPr>
        <w:t xml:space="preserve">Joint Ministerial Decision (JMD) 139491/2006, setting out the </w:t>
      </w:r>
      <w:r>
        <w:rPr>
          <w:rFonts w:ascii="Times New Roman" w:hAnsi="Times New Roman" w:cs="Times New Roman"/>
          <w:bCs/>
          <w:color w:val="auto"/>
          <w:sz w:val="24"/>
          <w:szCs w:val="24"/>
          <w:lang w:val="en-US"/>
        </w:rPr>
        <w:t xml:space="preserve">requirements for the free hospital and medical care of Greek and foreign citizens. In particular: </w:t>
      </w:r>
    </w:p>
    <w:p w:rsidR="00822681" w:rsidRDefault="00822681">
      <w:pPr>
        <w:pStyle w:val="BodyText2"/>
        <w:widowControl/>
        <w:suppressAutoHyphens w:val="0"/>
        <w:ind w:left="360" w:right="26"/>
        <w:jc w:val="both"/>
        <w:rPr>
          <w:rFonts w:ascii="Times New Roman" w:hAnsi="Times New Roman" w:cs="Times New Roman"/>
          <w:bCs/>
          <w:color w:val="auto"/>
          <w:sz w:val="24"/>
          <w:szCs w:val="24"/>
          <w:lang w:val="en-US"/>
        </w:rPr>
      </w:pPr>
    </w:p>
    <w:p w:rsidR="00822681" w:rsidRDefault="00822681">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Greek citizens who are not insured and are financially weak, according to the requirements mentioned in the JMD.</w:t>
      </w:r>
    </w:p>
    <w:p w:rsidR="00822681" w:rsidRDefault="00822681">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Citizens of EU member states who reside lawfully in the country and are in a weak financial condition or are uninsured.</w:t>
      </w:r>
    </w:p>
    <w:p w:rsidR="00822681" w:rsidRDefault="00822681">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Citizens of the State Parties to the European Social Charter, who live permanently and lawfully in the country and are in a weak financial condition or are uninsured.</w:t>
      </w:r>
    </w:p>
    <w:p w:rsidR="00822681" w:rsidRDefault="00822681">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Aliens holding a residence permit for humanitarian reasons (health).</w:t>
      </w:r>
    </w:p>
    <w:p w:rsidR="00822681" w:rsidRDefault="00822681">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Foreign spouses of Greek citizens or aliens of Greek descent or citizens of member-states of the EU, as well as their children, provided they live lawfully in the country and are in a weak financial condition or are uninsured.</w:t>
      </w:r>
    </w:p>
    <w:p w:rsidR="00822681" w:rsidRDefault="00822681">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Persons granted refugee status</w:t>
      </w:r>
      <w:r w:rsidR="0084311C">
        <w:rPr>
          <w:rFonts w:ascii="Times New Roman" w:hAnsi="Times New Roman" w:cs="Times New Roman"/>
          <w:bCs/>
          <w:color w:val="auto"/>
          <w:sz w:val="24"/>
          <w:szCs w:val="24"/>
          <w:lang w:val="en-US"/>
        </w:rPr>
        <w:t xml:space="preserve"> </w:t>
      </w:r>
      <w:r w:rsidR="0084311C" w:rsidRPr="00932912">
        <w:rPr>
          <w:rFonts w:ascii="Times New Roman" w:hAnsi="Times New Roman" w:cs="Times New Roman"/>
          <w:bCs/>
          <w:color w:val="auto"/>
          <w:sz w:val="24"/>
          <w:szCs w:val="24"/>
          <w:lang w:val="en-US"/>
        </w:rPr>
        <w:t>or other status of international protection</w:t>
      </w:r>
      <w:r w:rsidRPr="00932912">
        <w:rPr>
          <w:rFonts w:ascii="Times New Roman" w:hAnsi="Times New Roman" w:cs="Times New Roman"/>
          <w:bCs/>
          <w:color w:val="auto"/>
          <w:sz w:val="24"/>
          <w:szCs w:val="24"/>
          <w:lang w:val="en-US"/>
        </w:rPr>
        <w:t>.</w:t>
      </w:r>
    </w:p>
    <w:p w:rsidR="00822681" w:rsidRDefault="00932912">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P</w:t>
      </w:r>
      <w:r w:rsidR="00822681">
        <w:rPr>
          <w:rFonts w:ascii="Times New Roman" w:hAnsi="Times New Roman" w:cs="Times New Roman"/>
          <w:bCs/>
          <w:color w:val="auto"/>
          <w:sz w:val="24"/>
          <w:szCs w:val="24"/>
          <w:lang w:val="en-US"/>
        </w:rPr>
        <w:t>ersons who have filed an asylum request, the examination of which is pending</w:t>
      </w:r>
    </w:p>
    <w:p w:rsidR="00822681" w:rsidRDefault="00822681">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lastRenderedPageBreak/>
        <w:t xml:space="preserve">Aliens who are victims of crimes </w:t>
      </w:r>
      <w:r w:rsidR="0084311C">
        <w:rPr>
          <w:rFonts w:ascii="Times New Roman" w:hAnsi="Times New Roman" w:cs="Times New Roman"/>
          <w:bCs/>
          <w:color w:val="auto"/>
          <w:sz w:val="24"/>
          <w:szCs w:val="24"/>
          <w:lang w:val="en-US"/>
        </w:rPr>
        <w:t>related</w:t>
      </w:r>
      <w:r w:rsidR="00932912">
        <w:rPr>
          <w:rFonts w:ascii="Times New Roman" w:hAnsi="Times New Roman" w:cs="Times New Roman"/>
          <w:bCs/>
          <w:color w:val="auto"/>
          <w:sz w:val="24"/>
          <w:szCs w:val="24"/>
          <w:lang w:val="en-US"/>
        </w:rPr>
        <w:t xml:space="preserve"> to </w:t>
      </w:r>
      <w:r>
        <w:rPr>
          <w:rFonts w:ascii="Times New Roman" w:hAnsi="Times New Roman" w:cs="Times New Roman"/>
          <w:bCs/>
          <w:color w:val="auto"/>
          <w:sz w:val="24"/>
          <w:szCs w:val="24"/>
          <w:lang w:val="en-US"/>
        </w:rPr>
        <w:t>trafficking in human beings and are not insured.</w:t>
      </w:r>
    </w:p>
    <w:p w:rsidR="0084311C" w:rsidRPr="0084311C" w:rsidRDefault="0084311C" w:rsidP="0084311C">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sidRPr="0084311C">
        <w:rPr>
          <w:rFonts w:ascii="Times New Roman" w:hAnsi="Times New Roman" w:cs="Times New Roman"/>
          <w:bCs/>
          <w:color w:val="auto"/>
          <w:sz w:val="24"/>
          <w:szCs w:val="24"/>
          <w:lang w:val="en-US"/>
        </w:rPr>
        <w:t>Children living in child care institutions or in foster families</w:t>
      </w:r>
    </w:p>
    <w:p w:rsidR="0084311C" w:rsidRDefault="0084311C" w:rsidP="0084311C">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sidRPr="0084311C">
        <w:rPr>
          <w:rFonts w:ascii="Times New Roman" w:hAnsi="Times New Roman" w:cs="Times New Roman"/>
          <w:bCs/>
          <w:color w:val="auto"/>
          <w:sz w:val="24"/>
          <w:szCs w:val="24"/>
          <w:lang w:val="en-US"/>
        </w:rPr>
        <w:t>People attending programmes related to detox</w:t>
      </w:r>
      <w:r w:rsidR="00932912">
        <w:rPr>
          <w:rFonts w:ascii="Times New Roman" w:hAnsi="Times New Roman" w:cs="Times New Roman"/>
          <w:bCs/>
          <w:color w:val="auto"/>
          <w:sz w:val="24"/>
          <w:szCs w:val="24"/>
          <w:lang w:val="en-US"/>
        </w:rPr>
        <w:t>ification</w:t>
      </w:r>
      <w:r w:rsidRPr="0084311C">
        <w:rPr>
          <w:rFonts w:ascii="Times New Roman" w:hAnsi="Times New Roman" w:cs="Times New Roman"/>
          <w:bCs/>
          <w:color w:val="auto"/>
          <w:sz w:val="24"/>
          <w:szCs w:val="24"/>
          <w:lang w:val="en-US"/>
        </w:rPr>
        <w:t xml:space="preserve"> from drug addiction</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297.</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 xml:space="preserve">In addition, Presidential Decree 96/2008 </w:t>
      </w:r>
      <w:r w:rsidR="0084311C">
        <w:rPr>
          <w:rFonts w:ascii="Times New Roman" w:hAnsi="Times New Roman" w:cs="Times New Roman"/>
          <w:bCs/>
          <w:color w:val="auto"/>
          <w:sz w:val="24"/>
          <w:szCs w:val="24"/>
          <w:lang w:val="en-US"/>
        </w:rPr>
        <w:t>ensures free</w:t>
      </w:r>
      <w:r w:rsidR="00822681">
        <w:rPr>
          <w:rFonts w:ascii="Times New Roman" w:hAnsi="Times New Roman" w:cs="Times New Roman"/>
          <w:bCs/>
          <w:color w:val="auto"/>
          <w:sz w:val="24"/>
          <w:szCs w:val="24"/>
          <w:lang w:val="en-US"/>
        </w:rPr>
        <w:t xml:space="preserve"> access to health care </w:t>
      </w:r>
      <w:r w:rsidR="0084311C">
        <w:rPr>
          <w:rFonts w:ascii="Times New Roman" w:hAnsi="Times New Roman" w:cs="Times New Roman"/>
          <w:bCs/>
          <w:color w:val="auto"/>
          <w:sz w:val="24"/>
          <w:szCs w:val="24"/>
          <w:lang w:val="en-US"/>
        </w:rPr>
        <w:t xml:space="preserve">to </w:t>
      </w:r>
      <w:r w:rsidR="00822681">
        <w:rPr>
          <w:rFonts w:ascii="Times New Roman" w:hAnsi="Times New Roman" w:cs="Times New Roman"/>
          <w:bCs/>
          <w:color w:val="auto"/>
          <w:sz w:val="24"/>
          <w:szCs w:val="24"/>
          <w:lang w:val="en-US"/>
        </w:rPr>
        <w:t>beneficiaries of international protection status (harmonization of the Greek legislation with the provisions of EU Council Directive 2004/83/EC of 29 April 2004).</w:t>
      </w:r>
    </w:p>
    <w:p w:rsidR="00822681" w:rsidRDefault="00822681">
      <w:pPr>
        <w:pStyle w:val="BodyText2"/>
        <w:ind w:right="26"/>
        <w:jc w:val="both"/>
        <w:rPr>
          <w:rFonts w:ascii="Times New Roman" w:hAnsi="Times New Roman" w:cs="Times New Roman"/>
          <w:b/>
          <w:color w:val="auto"/>
          <w:sz w:val="24"/>
          <w:szCs w:val="24"/>
          <w:lang w:val="en-US"/>
        </w:rPr>
      </w:pPr>
    </w:p>
    <w:p w:rsidR="00822681" w:rsidRDefault="00822681">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Environment Hygiene</w:t>
      </w:r>
    </w:p>
    <w:p w:rsidR="00822681" w:rsidRDefault="00822681">
      <w:pPr>
        <w:pStyle w:val="BodyText2"/>
        <w:ind w:right="26"/>
        <w:jc w:val="both"/>
        <w:rPr>
          <w:rFonts w:ascii="Times New Roman" w:hAnsi="Times New Roman" w:cs="Times New Roman"/>
          <w:b/>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298.</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 xml:space="preserve">To monitor the </w:t>
      </w:r>
      <w:r w:rsidR="00822681">
        <w:rPr>
          <w:rFonts w:ascii="Times New Roman" w:hAnsi="Times New Roman" w:cs="Times New Roman"/>
          <w:color w:val="auto"/>
          <w:sz w:val="24"/>
          <w:szCs w:val="24"/>
          <w:lang w:val="en-US"/>
        </w:rPr>
        <w:t>quality of drinkable water</w:t>
      </w:r>
      <w:r w:rsidR="00822681">
        <w:rPr>
          <w:rFonts w:ascii="Times New Roman" w:hAnsi="Times New Roman" w:cs="Times New Roman"/>
          <w:bCs/>
          <w:color w:val="auto"/>
          <w:sz w:val="24"/>
          <w:szCs w:val="24"/>
          <w:lang w:val="en-US"/>
        </w:rPr>
        <w:t>, a Joint Ministerial Decision on the “quality of water intended for human consumption” has been issued, in compliance with directive 98/83/EC of the European Council of 3</w:t>
      </w:r>
      <w:r w:rsidR="00822681">
        <w:rPr>
          <w:rFonts w:ascii="Times New Roman" w:hAnsi="Times New Roman" w:cs="Times New Roman"/>
          <w:bCs/>
          <w:color w:val="auto"/>
          <w:sz w:val="24"/>
          <w:szCs w:val="24"/>
          <w:vertAlign w:val="superscript"/>
          <w:lang w:val="en-US"/>
        </w:rPr>
        <w:t>rd</w:t>
      </w:r>
      <w:r w:rsidR="00822681">
        <w:rPr>
          <w:rFonts w:ascii="Times New Roman" w:hAnsi="Times New Roman" w:cs="Times New Roman"/>
          <w:bCs/>
          <w:color w:val="auto"/>
          <w:sz w:val="24"/>
          <w:szCs w:val="24"/>
          <w:lang w:val="en-US"/>
        </w:rPr>
        <w:t xml:space="preserve"> November 1998, and is applied as subsequently amended in 2007; all controls prescribed therein are carried out by the competent authorities.</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299.</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 xml:space="preserve">Sanitary Provisions have been issued in relation to the </w:t>
      </w:r>
      <w:r w:rsidR="00822681">
        <w:rPr>
          <w:rFonts w:ascii="Times New Roman" w:hAnsi="Times New Roman" w:cs="Times New Roman"/>
          <w:color w:val="auto"/>
          <w:sz w:val="24"/>
          <w:szCs w:val="24"/>
          <w:lang w:val="en-US"/>
        </w:rPr>
        <w:t>quality of bottled water</w:t>
      </w:r>
      <w:r w:rsidR="00822681">
        <w:rPr>
          <w:rFonts w:ascii="Times New Roman" w:hAnsi="Times New Roman" w:cs="Times New Roman"/>
          <w:bCs/>
          <w:color w:val="auto"/>
          <w:sz w:val="24"/>
          <w:szCs w:val="24"/>
          <w:lang w:val="en-US"/>
        </w:rPr>
        <w:t xml:space="preserve">, </w:t>
      </w:r>
      <w:r w:rsidR="00822681">
        <w:rPr>
          <w:rFonts w:ascii="Times New Roman" w:hAnsi="Times New Roman" w:cs="Times New Roman"/>
          <w:color w:val="auto"/>
          <w:sz w:val="24"/>
          <w:szCs w:val="24"/>
          <w:lang w:val="en-US"/>
        </w:rPr>
        <w:t>table water</w:t>
      </w:r>
      <w:r w:rsidR="00822681">
        <w:rPr>
          <w:rFonts w:ascii="Times New Roman" w:hAnsi="Times New Roman" w:cs="Times New Roman"/>
          <w:bCs/>
          <w:color w:val="auto"/>
          <w:sz w:val="24"/>
          <w:szCs w:val="24"/>
          <w:lang w:val="en-US"/>
        </w:rPr>
        <w:t xml:space="preserve"> and </w:t>
      </w:r>
      <w:r w:rsidR="00822681">
        <w:rPr>
          <w:rFonts w:ascii="Times New Roman" w:hAnsi="Times New Roman" w:cs="Times New Roman"/>
          <w:color w:val="auto"/>
          <w:sz w:val="24"/>
          <w:szCs w:val="24"/>
          <w:lang w:val="en-US"/>
        </w:rPr>
        <w:t>natural mineral water</w:t>
      </w:r>
      <w:r w:rsidR="00822681">
        <w:rPr>
          <w:rFonts w:ascii="Times New Roman" w:hAnsi="Times New Roman" w:cs="Times New Roman"/>
          <w:bCs/>
          <w:color w:val="auto"/>
          <w:sz w:val="24"/>
          <w:szCs w:val="24"/>
          <w:lang w:val="en-US"/>
        </w:rPr>
        <w:t xml:space="preserve">, in compliance with relevant EU directives, as well as with regard to the </w:t>
      </w:r>
      <w:r w:rsidR="00822681">
        <w:rPr>
          <w:rFonts w:ascii="Times New Roman" w:hAnsi="Times New Roman" w:cs="Times New Roman"/>
          <w:color w:val="auto"/>
          <w:sz w:val="24"/>
          <w:szCs w:val="24"/>
          <w:lang w:val="en-US"/>
        </w:rPr>
        <w:t>operation of swimming pools and the safety of the swimmers</w:t>
      </w:r>
      <w:r w:rsidR="00822681">
        <w:rPr>
          <w:rFonts w:ascii="Times New Roman" w:hAnsi="Times New Roman" w:cs="Times New Roman"/>
          <w:bCs/>
          <w:color w:val="auto"/>
          <w:sz w:val="24"/>
          <w:szCs w:val="24"/>
          <w:lang w:val="en-US"/>
        </w:rPr>
        <w:t>.</w:t>
      </w:r>
    </w:p>
    <w:p w:rsidR="00822681" w:rsidRDefault="00822681">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 xml:space="preserve"> </w:t>
      </w: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300.</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 xml:space="preserve">In relation to </w:t>
      </w:r>
      <w:r w:rsidR="00822681">
        <w:rPr>
          <w:rFonts w:ascii="Times New Roman" w:hAnsi="Times New Roman" w:cs="Times New Roman"/>
          <w:color w:val="auto"/>
          <w:sz w:val="24"/>
          <w:szCs w:val="24"/>
          <w:lang w:val="en-US"/>
        </w:rPr>
        <w:t>sewerage</w:t>
      </w:r>
      <w:r w:rsidR="00822681">
        <w:rPr>
          <w:rFonts w:ascii="Times New Roman" w:hAnsi="Times New Roman" w:cs="Times New Roman"/>
          <w:bCs/>
          <w:color w:val="auto"/>
          <w:sz w:val="24"/>
          <w:szCs w:val="24"/>
          <w:lang w:val="en-US"/>
        </w:rPr>
        <w:t>, a Joint Ministerial Decision has harmonized Greek legislation with EU directive 91/271 EC concerning urban waste-water treatment, while legislation has been adopted on waste-waters and industrial waste disposal.</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301.</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The Ministry of the Environment, Energy and Climate Change is responsible for the monitoring of air</w:t>
      </w:r>
      <w:r w:rsidR="00822681">
        <w:rPr>
          <w:rFonts w:ascii="Times New Roman" w:hAnsi="Times New Roman" w:cs="Times New Roman"/>
          <w:color w:val="auto"/>
          <w:sz w:val="24"/>
          <w:szCs w:val="24"/>
          <w:lang w:val="en-US"/>
        </w:rPr>
        <w:t xml:space="preserve"> quality</w:t>
      </w:r>
      <w:r w:rsidR="00822681">
        <w:rPr>
          <w:rFonts w:ascii="Times New Roman" w:hAnsi="Times New Roman" w:cs="Times New Roman"/>
          <w:bCs/>
          <w:color w:val="auto"/>
          <w:sz w:val="24"/>
          <w:szCs w:val="24"/>
          <w:lang w:val="en-US"/>
        </w:rPr>
        <w:t xml:space="preserve"> and the operation of the measurement network in accordance with Law 1650/1983.</w:t>
      </w:r>
      <w:r w:rsidR="00932912">
        <w:rPr>
          <w:rFonts w:ascii="Times New Roman" w:hAnsi="Times New Roman" w:cs="Times New Roman"/>
          <w:bCs/>
          <w:color w:val="auto"/>
          <w:sz w:val="24"/>
          <w:szCs w:val="24"/>
          <w:lang w:val="en-US"/>
        </w:rPr>
        <w:t xml:space="preserve"> </w:t>
      </w:r>
      <w:r w:rsidR="00822681">
        <w:rPr>
          <w:rFonts w:ascii="Times New Roman" w:hAnsi="Times New Roman" w:cs="Times New Roman"/>
          <w:bCs/>
          <w:color w:val="auto"/>
          <w:sz w:val="24"/>
          <w:szCs w:val="24"/>
          <w:lang w:val="en-US"/>
        </w:rPr>
        <w:t xml:space="preserve">The same Ministry is responsible for the implementation of Law 3199/2003 and the relevant regulatory acts (Presidential Decrees and Joint Ministerial Decisions) on water pollution, as regards the monitoring of the quality of the </w:t>
      </w:r>
      <w:r w:rsidR="00822681">
        <w:rPr>
          <w:rFonts w:ascii="Times New Roman" w:hAnsi="Times New Roman" w:cs="Times New Roman"/>
          <w:color w:val="auto"/>
          <w:sz w:val="24"/>
          <w:szCs w:val="24"/>
          <w:lang w:val="en-US"/>
        </w:rPr>
        <w:t>surface and underground waters</w:t>
      </w:r>
      <w:r w:rsidR="00822681">
        <w:rPr>
          <w:rFonts w:ascii="Times New Roman" w:hAnsi="Times New Roman" w:cs="Times New Roman"/>
          <w:bCs/>
          <w:color w:val="auto"/>
          <w:sz w:val="24"/>
          <w:szCs w:val="24"/>
          <w:lang w:val="en-US"/>
        </w:rPr>
        <w:t>.</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302.</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 xml:space="preserve">Regulations have also been issued on the protection of the population from </w:t>
      </w:r>
      <w:r w:rsidR="00822681">
        <w:rPr>
          <w:rFonts w:ascii="Times New Roman" w:hAnsi="Times New Roman" w:cs="Times New Roman"/>
          <w:color w:val="auto"/>
          <w:sz w:val="24"/>
          <w:szCs w:val="24"/>
          <w:lang w:val="en-US"/>
        </w:rPr>
        <w:t>radioactivity</w:t>
      </w:r>
      <w:r w:rsidR="00822681">
        <w:rPr>
          <w:rFonts w:ascii="Times New Roman" w:hAnsi="Times New Roman" w:cs="Times New Roman"/>
          <w:bCs/>
          <w:color w:val="auto"/>
          <w:sz w:val="24"/>
          <w:szCs w:val="24"/>
          <w:lang w:val="en-US"/>
        </w:rPr>
        <w:t xml:space="preserve"> and a continuous monitoring and measurement of radioactivity is carried out; </w:t>
      </w:r>
      <w:r w:rsidR="00822681">
        <w:rPr>
          <w:rFonts w:ascii="Times New Roman" w:hAnsi="Times New Roman" w:cs="Times New Roman"/>
          <w:color w:val="auto"/>
          <w:sz w:val="24"/>
          <w:szCs w:val="24"/>
          <w:lang w:val="en-US"/>
        </w:rPr>
        <w:t xml:space="preserve">in association with the Greek Atomic Energy Committee, </w:t>
      </w:r>
      <w:r w:rsidR="00822681">
        <w:rPr>
          <w:rFonts w:ascii="Times New Roman" w:hAnsi="Times New Roman" w:cs="Times New Roman"/>
          <w:bCs/>
          <w:color w:val="auto"/>
          <w:sz w:val="24"/>
          <w:szCs w:val="24"/>
          <w:lang w:val="en-US"/>
        </w:rPr>
        <w:t xml:space="preserve">prescriptions have been issued on the conditions, the construction materials and the use of substances, devices or buildings where the actions relevant to the emission of the radioactive radiation are performed. </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303.</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 xml:space="preserve">In general, the Ministry notifies instructions and relevant circulars on </w:t>
      </w:r>
      <w:r w:rsidR="00822681">
        <w:rPr>
          <w:rFonts w:ascii="Times New Roman" w:hAnsi="Times New Roman" w:cs="Times New Roman"/>
          <w:color w:val="auto"/>
          <w:sz w:val="24"/>
          <w:szCs w:val="24"/>
          <w:lang w:val="en-US"/>
        </w:rPr>
        <w:t>environmental health issues</w:t>
      </w:r>
      <w:r w:rsidR="00822681">
        <w:rPr>
          <w:rFonts w:ascii="Times New Roman" w:hAnsi="Times New Roman" w:cs="Times New Roman"/>
          <w:bCs/>
          <w:color w:val="auto"/>
          <w:sz w:val="24"/>
          <w:szCs w:val="24"/>
          <w:lang w:val="en-US"/>
        </w:rPr>
        <w:t xml:space="preserve"> to the Health Directions of the Regions and the Prefectural Administrations, as well as to other competent bodies.</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822681">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Operational Programmes</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304.</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The Special Agency of Health and Social Solidarity Sector has been assigned the management, monitoring and control of the implementation of the Operational Programme “</w:t>
      </w:r>
      <w:r w:rsidR="00822681">
        <w:rPr>
          <w:rFonts w:ascii="Times New Roman" w:hAnsi="Times New Roman" w:cs="Times New Roman"/>
          <w:bCs/>
          <w:i/>
          <w:iCs/>
          <w:color w:val="auto"/>
          <w:sz w:val="24"/>
          <w:szCs w:val="24"/>
          <w:lang w:val="en-US"/>
        </w:rPr>
        <w:t xml:space="preserve">Health-Welfare” </w:t>
      </w:r>
      <w:r w:rsidR="00822681">
        <w:rPr>
          <w:rFonts w:ascii="Times New Roman" w:hAnsi="Times New Roman" w:cs="Times New Roman"/>
          <w:bCs/>
          <w:color w:val="auto"/>
          <w:sz w:val="24"/>
          <w:szCs w:val="24"/>
          <w:lang w:val="en-US"/>
        </w:rPr>
        <w:t xml:space="preserve">2000-2006, as well as the planning, coordination and management (Thematic Axis Priority 5 of the Sectoral Operational Programme </w:t>
      </w:r>
      <w:r w:rsidR="00822681">
        <w:rPr>
          <w:rFonts w:ascii="Times New Roman" w:hAnsi="Times New Roman" w:cs="Times New Roman"/>
          <w:bCs/>
          <w:color w:val="auto"/>
          <w:sz w:val="24"/>
          <w:szCs w:val="24"/>
          <w:lang w:val="en-US"/>
        </w:rPr>
        <w:lastRenderedPageBreak/>
        <w:t>“</w:t>
      </w:r>
      <w:r w:rsidR="00822681">
        <w:rPr>
          <w:rFonts w:ascii="Times New Roman" w:hAnsi="Times New Roman" w:cs="Times New Roman"/>
          <w:bCs/>
          <w:i/>
          <w:iCs/>
          <w:color w:val="auto"/>
          <w:sz w:val="24"/>
          <w:szCs w:val="24"/>
          <w:lang w:val="en-US"/>
        </w:rPr>
        <w:t>Human Resource Development</w:t>
      </w:r>
      <w:r w:rsidR="00822681">
        <w:rPr>
          <w:rFonts w:ascii="Times New Roman" w:hAnsi="Times New Roman" w:cs="Times New Roman"/>
          <w:bCs/>
          <w:color w:val="auto"/>
          <w:sz w:val="24"/>
          <w:szCs w:val="24"/>
          <w:lang w:val="en-US"/>
        </w:rPr>
        <w:t>”)</w:t>
      </w:r>
      <w:r w:rsidR="00822681">
        <w:rPr>
          <w:rFonts w:ascii="Times New Roman" w:hAnsi="Times New Roman" w:cs="Times New Roman"/>
          <w:bCs/>
          <w:i/>
          <w:iCs/>
          <w:color w:val="auto"/>
          <w:sz w:val="24"/>
          <w:szCs w:val="24"/>
          <w:lang w:val="en-US"/>
        </w:rPr>
        <w:t xml:space="preserve"> </w:t>
      </w:r>
      <w:r w:rsidR="00822681">
        <w:rPr>
          <w:rFonts w:ascii="Times New Roman" w:hAnsi="Times New Roman" w:cs="Times New Roman"/>
          <w:bCs/>
          <w:color w:val="auto"/>
          <w:sz w:val="24"/>
          <w:szCs w:val="24"/>
          <w:lang w:val="en-US"/>
        </w:rPr>
        <w:t>of the projects/actions under the authority of the Ministry of Health and Social Solidarity that will be implemented in the context of the Operational Programmes of the National Strategic Reference Framework (NSRF) 2007-2013.</w:t>
      </w:r>
    </w:p>
    <w:p w:rsidR="00822681" w:rsidRDefault="00822681">
      <w:pPr>
        <w:pStyle w:val="BodyText2"/>
        <w:ind w:right="26"/>
        <w:jc w:val="both"/>
        <w:rPr>
          <w:rFonts w:ascii="Times New Roman" w:hAnsi="Times New Roman" w:cs="Times New Roman"/>
          <w:bCs/>
          <w:color w:val="auto"/>
          <w:sz w:val="24"/>
          <w:szCs w:val="24"/>
          <w:lang w:val="en-US"/>
        </w:rPr>
      </w:pPr>
    </w:p>
    <w:p w:rsidR="00822681" w:rsidRDefault="00EA19C8">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305.</w:t>
      </w:r>
      <w:r>
        <w:rPr>
          <w:rFonts w:ascii="Times New Roman" w:hAnsi="Times New Roman" w:cs="Times New Roman"/>
          <w:bCs/>
          <w:color w:val="auto"/>
          <w:sz w:val="24"/>
          <w:szCs w:val="24"/>
          <w:lang w:val="en-US"/>
        </w:rPr>
        <w:tab/>
      </w:r>
      <w:r w:rsidR="00822681">
        <w:rPr>
          <w:rFonts w:ascii="Times New Roman" w:hAnsi="Times New Roman" w:cs="Times New Roman"/>
          <w:bCs/>
          <w:color w:val="auto"/>
          <w:sz w:val="24"/>
          <w:szCs w:val="24"/>
          <w:lang w:val="en-US"/>
        </w:rPr>
        <w:t>As a result of the implementation of the said Operational Programme, the objectives set out have been accomplished to a large extent</w:t>
      </w:r>
      <w:r w:rsidR="00C20F9F">
        <w:rPr>
          <w:rFonts w:ascii="Times New Roman" w:hAnsi="Times New Roman" w:cs="Times New Roman"/>
          <w:bCs/>
          <w:color w:val="auto"/>
          <w:sz w:val="24"/>
          <w:szCs w:val="24"/>
          <w:lang w:val="en-US"/>
        </w:rPr>
        <w:t xml:space="preserve"> in the fields of</w:t>
      </w:r>
      <w:r w:rsidR="000D20FB">
        <w:rPr>
          <w:rFonts w:ascii="Times New Roman" w:hAnsi="Times New Roman" w:cs="Times New Roman"/>
          <w:bCs/>
          <w:color w:val="auto"/>
          <w:sz w:val="24"/>
          <w:szCs w:val="24"/>
          <w:lang w:val="en-US"/>
        </w:rPr>
        <w:t xml:space="preserve">: creation and modernization of health centers, </w:t>
      </w:r>
      <w:r w:rsidR="00147C7A">
        <w:rPr>
          <w:rFonts w:ascii="Times New Roman" w:hAnsi="Times New Roman" w:cs="Times New Roman"/>
          <w:bCs/>
          <w:color w:val="auto"/>
          <w:sz w:val="24"/>
          <w:szCs w:val="24"/>
          <w:lang w:val="en-US"/>
        </w:rPr>
        <w:t>upgrading of hospital capacity, training of health, public health and social care workers, improvements in the mental health sector, including through the establishment of Boarding Houses, operation of Social Supporting Services Offices, deinstitutionalization of persons with special needs</w:t>
      </w:r>
      <w:r w:rsidR="009E26E4">
        <w:rPr>
          <w:rFonts w:ascii="Times New Roman" w:hAnsi="Times New Roman" w:cs="Times New Roman"/>
          <w:bCs/>
          <w:color w:val="auto"/>
          <w:sz w:val="24"/>
          <w:szCs w:val="24"/>
          <w:lang w:val="en-US"/>
        </w:rPr>
        <w:t>, etc.</w:t>
      </w:r>
    </w:p>
    <w:p w:rsidR="00822681" w:rsidRDefault="00822681">
      <w:pPr>
        <w:pStyle w:val="BodyText2"/>
        <w:ind w:right="26"/>
        <w:jc w:val="both"/>
        <w:rPr>
          <w:rFonts w:ascii="Times New Roman" w:hAnsi="Times New Roman" w:cs="Times New Roman"/>
          <w:b/>
          <w:bCs/>
          <w:color w:val="auto"/>
          <w:lang w:val="en-US"/>
        </w:rPr>
      </w:pPr>
    </w:p>
    <w:p w:rsidR="00822681" w:rsidRDefault="00822681">
      <w:pPr>
        <w:pStyle w:val="BodyText2"/>
        <w:ind w:right="26"/>
        <w:jc w:val="both"/>
        <w:rPr>
          <w:rFonts w:ascii="Times New Roman" w:hAnsi="Times New Roman" w:cs="Times New Roman"/>
          <w:b/>
          <w:bCs/>
          <w:color w:val="auto"/>
          <w:lang w:val="en-US"/>
        </w:rPr>
      </w:pPr>
    </w:p>
    <w:p w:rsidR="00822681" w:rsidRDefault="00822681">
      <w:pPr>
        <w:pStyle w:val="BodyText2"/>
        <w:ind w:right="26"/>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ARTICLES 13 &amp; 14</w:t>
      </w:r>
    </w:p>
    <w:p w:rsidR="00822681" w:rsidRDefault="00822681">
      <w:pPr>
        <w:ind w:right="26"/>
        <w:jc w:val="both"/>
        <w:rPr>
          <w:lang w:val="en-US"/>
        </w:rPr>
      </w:pPr>
    </w:p>
    <w:p w:rsidR="006847BA" w:rsidRPr="006847BA" w:rsidRDefault="00EA19C8" w:rsidP="006847BA">
      <w:pPr>
        <w:autoSpaceDE w:val="0"/>
        <w:autoSpaceDN w:val="0"/>
        <w:adjustRightInd w:val="0"/>
        <w:ind w:right="26"/>
        <w:jc w:val="both"/>
        <w:rPr>
          <w:lang w:val="en-US"/>
        </w:rPr>
      </w:pPr>
      <w:r>
        <w:rPr>
          <w:lang w:val="en-US"/>
        </w:rPr>
        <w:t>306.</w:t>
      </w:r>
      <w:r>
        <w:rPr>
          <w:lang w:val="en-US"/>
        </w:rPr>
        <w:tab/>
      </w:r>
      <w:r w:rsidR="006847BA" w:rsidRPr="006847BA">
        <w:rPr>
          <w:lang w:val="en-US"/>
        </w:rPr>
        <w:t xml:space="preserve">Among other focal issues, the Greek education policy aims to a) ensure high-quality educational services that are accessible to all, b) cater for every child’s specific educational needs, while respecting their diversity, and c) combat educational exclusion. The key-concepts and principles of intercultural and HR education underlie the general education policy and have, therefore, been included in the school curricula for primary and secondary education. School books have been and continue to be revised to reinforce understanding and respect for the different, to enhance interest in other people’s beliefs, religion, way of living and thinking. </w:t>
      </w:r>
    </w:p>
    <w:p w:rsidR="006847BA" w:rsidRPr="006847BA" w:rsidRDefault="006847BA" w:rsidP="006847BA">
      <w:pPr>
        <w:pStyle w:val="BodyText2"/>
        <w:ind w:right="26"/>
        <w:jc w:val="both"/>
        <w:rPr>
          <w:rFonts w:ascii="Times New Roman" w:hAnsi="Times New Roman" w:cs="Times New Roman"/>
          <w:bCs/>
          <w:color w:val="auto"/>
          <w:sz w:val="24"/>
          <w:szCs w:val="24"/>
          <w:u w:val="single"/>
          <w:lang w:val="en-US"/>
        </w:rPr>
      </w:pPr>
    </w:p>
    <w:p w:rsidR="006847BA" w:rsidRPr="006847BA" w:rsidRDefault="00EA19C8" w:rsidP="006847BA">
      <w:pPr>
        <w:jc w:val="both"/>
        <w:rPr>
          <w:lang w:val="en-US"/>
        </w:rPr>
      </w:pPr>
      <w:r>
        <w:rPr>
          <w:lang w:val="en-US"/>
        </w:rPr>
        <w:t>307.</w:t>
      </w:r>
      <w:r>
        <w:rPr>
          <w:lang w:val="en-US"/>
        </w:rPr>
        <w:tab/>
      </w:r>
      <w:r w:rsidR="006847BA" w:rsidRPr="006847BA">
        <w:rPr>
          <w:lang w:val="en-US"/>
        </w:rPr>
        <w:t>The three focal national projects: a) “Education of immigrant and repatriate students”, b) “Education of the children of the Muslim minority in Thrace” and c) “Education of Roma children” continue to be implemented in the Greek educational system under the supervision of the Ministry of Education (since the school year 2010-2011), which in essence facilitates the work, sets the guidelines to the actions and controls the results.</w:t>
      </w:r>
    </w:p>
    <w:p w:rsidR="006847BA" w:rsidRPr="006847BA" w:rsidRDefault="006847BA" w:rsidP="006847BA">
      <w:pPr>
        <w:pStyle w:val="BodyText2"/>
        <w:ind w:right="26"/>
        <w:jc w:val="both"/>
        <w:rPr>
          <w:rFonts w:ascii="Times New Roman" w:hAnsi="Times New Roman" w:cs="Times New Roman"/>
          <w:bCs/>
          <w:color w:val="auto"/>
          <w:sz w:val="24"/>
          <w:szCs w:val="24"/>
          <w:u w:val="single"/>
          <w:lang w:val="en-US"/>
        </w:rPr>
      </w:pPr>
    </w:p>
    <w:p w:rsidR="006847BA" w:rsidRPr="006847BA" w:rsidRDefault="006847BA" w:rsidP="006847BA">
      <w:pPr>
        <w:ind w:right="26"/>
        <w:jc w:val="both"/>
        <w:rPr>
          <w:b/>
          <w:caps/>
          <w:u w:val="single"/>
          <w:lang w:val="en-US"/>
        </w:rPr>
      </w:pPr>
      <w:r w:rsidRPr="006847BA">
        <w:rPr>
          <w:b/>
          <w:lang w:val="en-US"/>
        </w:rPr>
        <w:t>The Education of the Muslim Minority students</w:t>
      </w:r>
      <w:r w:rsidRPr="006847BA">
        <w:rPr>
          <w:lang w:val="en-US"/>
        </w:rPr>
        <w:t xml:space="preserve"> </w:t>
      </w:r>
      <w:r w:rsidRPr="006847BA">
        <w:rPr>
          <w:b/>
          <w:lang w:val="en-US"/>
        </w:rPr>
        <w:t>(paras. 28 and 50 of the Committee’s Concluding Observations)</w:t>
      </w:r>
    </w:p>
    <w:p w:rsidR="006847BA" w:rsidRPr="006847BA" w:rsidRDefault="006847BA" w:rsidP="006847BA">
      <w:pPr>
        <w:ind w:right="26"/>
        <w:jc w:val="both"/>
        <w:rPr>
          <w:b/>
          <w:caps/>
          <w:u w:val="single"/>
          <w:lang w:val="en-US"/>
        </w:rPr>
      </w:pPr>
    </w:p>
    <w:p w:rsidR="006847BA" w:rsidRPr="006847BA" w:rsidRDefault="00EA19C8" w:rsidP="006847BA">
      <w:pPr>
        <w:ind w:right="26"/>
        <w:jc w:val="both"/>
        <w:rPr>
          <w:lang/>
        </w:rPr>
      </w:pPr>
      <w:r>
        <w:rPr>
          <w:lang w:val="en-US"/>
        </w:rPr>
        <w:t>308.</w:t>
      </w:r>
      <w:r>
        <w:rPr>
          <w:lang w:val="en-US"/>
        </w:rPr>
        <w:tab/>
      </w:r>
      <w:r w:rsidR="006847BA" w:rsidRPr="006847BA">
        <w:rPr>
          <w:lang w:val="en-US"/>
        </w:rPr>
        <w:t xml:space="preserve">The Greek Government is firmly committed to continue its policy to uphold the right to education for the Muslim minority. </w:t>
      </w:r>
      <w:r w:rsidR="006847BA" w:rsidRPr="006847BA">
        <w:rPr>
          <w:lang/>
        </w:rPr>
        <w:t>The "Education of the Children of the Muslim Minority in Thrace" project is a policy of the Greek state for the Muslim minority in Thrace, already started in the 1990's</w:t>
      </w:r>
      <w:r w:rsidR="00405628">
        <w:rPr>
          <w:lang/>
        </w:rPr>
        <w:t>, which is</w:t>
      </w:r>
      <w:r w:rsidR="006847BA" w:rsidRPr="006847BA">
        <w:rPr>
          <w:lang/>
        </w:rPr>
        <w:t xml:space="preserve"> now running its fourth phase.</w:t>
      </w:r>
      <w:r w:rsidR="006847BA" w:rsidRPr="006847BA">
        <w:rPr>
          <w:lang w:val="en-GB"/>
        </w:rPr>
        <w:t xml:space="preserve"> </w:t>
      </w:r>
      <w:r w:rsidR="006847BA" w:rsidRPr="006847BA">
        <w:rPr>
          <w:lang/>
        </w:rPr>
        <w:t>I</w:t>
      </w:r>
      <w:r w:rsidR="006847BA" w:rsidRPr="006847BA">
        <w:rPr>
          <w:lang w:val="en-US"/>
        </w:rPr>
        <w:t>t</w:t>
      </w:r>
      <w:r w:rsidR="006847BA" w:rsidRPr="006847BA">
        <w:rPr>
          <w:lang/>
        </w:rPr>
        <w:t>s basic aim is to upgrade the education of the children of the minority and to foster their integration into society as equal citizens of Greece and the European Union.</w:t>
      </w:r>
    </w:p>
    <w:p w:rsidR="006847BA" w:rsidRPr="006847BA" w:rsidRDefault="006847BA" w:rsidP="006847BA">
      <w:pPr>
        <w:jc w:val="both"/>
        <w:rPr>
          <w:lang/>
        </w:rPr>
      </w:pPr>
    </w:p>
    <w:p w:rsidR="006847BA" w:rsidRPr="006847BA" w:rsidRDefault="00EA19C8" w:rsidP="006847BA">
      <w:pPr>
        <w:jc w:val="both"/>
        <w:rPr>
          <w:rStyle w:val="hps"/>
          <w:lang/>
        </w:rPr>
      </w:pPr>
      <w:r>
        <w:rPr>
          <w:bCs/>
          <w:lang w:val="en-US"/>
        </w:rPr>
        <w:t>309.</w:t>
      </w:r>
      <w:r>
        <w:rPr>
          <w:bCs/>
          <w:lang w:val="en-US"/>
        </w:rPr>
        <w:tab/>
      </w:r>
      <w:r w:rsidR="006847BA" w:rsidRPr="006847BA">
        <w:rPr>
          <w:bCs/>
          <w:lang w:val="en-US"/>
        </w:rPr>
        <w:t xml:space="preserve">In accordance with the 1923 Treaty of Lausanne, Greece guarantees the proper functioning of the existing minority schools, supported and funded by the State. Currently, there are 174 primary minority schools, 2 secondary and 2 Seminaries in Thrace. </w:t>
      </w:r>
      <w:r w:rsidR="006847BA" w:rsidRPr="006847BA">
        <w:rPr>
          <w:rStyle w:val="hps"/>
          <w:lang w:val="en-US"/>
        </w:rPr>
        <w:t>T</w:t>
      </w:r>
      <w:r w:rsidR="006847BA" w:rsidRPr="006847BA">
        <w:rPr>
          <w:rStyle w:val="hps"/>
          <w:lang/>
        </w:rPr>
        <w:t>he majority</w:t>
      </w:r>
      <w:r w:rsidR="006847BA" w:rsidRPr="006847BA">
        <w:rPr>
          <w:lang/>
        </w:rPr>
        <w:t xml:space="preserve"> </w:t>
      </w:r>
      <w:r w:rsidR="006847BA" w:rsidRPr="006847BA">
        <w:rPr>
          <w:rStyle w:val="hps"/>
          <w:lang/>
        </w:rPr>
        <w:t>of children</w:t>
      </w:r>
      <w:r w:rsidR="006847BA" w:rsidRPr="006847BA">
        <w:rPr>
          <w:lang/>
        </w:rPr>
        <w:t xml:space="preserve"> </w:t>
      </w:r>
      <w:r w:rsidR="006847BA" w:rsidRPr="006847BA">
        <w:rPr>
          <w:rStyle w:val="hps"/>
          <w:lang/>
        </w:rPr>
        <w:t>of primary school age</w:t>
      </w:r>
      <w:r w:rsidR="006847BA" w:rsidRPr="006847BA">
        <w:rPr>
          <w:lang/>
        </w:rPr>
        <w:t xml:space="preserve"> attend </w:t>
      </w:r>
      <w:r w:rsidR="006847BA" w:rsidRPr="006847BA">
        <w:rPr>
          <w:rStyle w:val="hps"/>
          <w:lang/>
        </w:rPr>
        <w:t>minority education</w:t>
      </w:r>
      <w:r w:rsidR="006847BA" w:rsidRPr="006847BA">
        <w:rPr>
          <w:lang/>
        </w:rPr>
        <w:t xml:space="preserve"> </w:t>
      </w:r>
      <w:r w:rsidR="006847BA" w:rsidRPr="006847BA">
        <w:rPr>
          <w:rStyle w:val="hps"/>
          <w:lang/>
        </w:rPr>
        <w:t>that offers a bilingual</w:t>
      </w:r>
      <w:r w:rsidR="006847BA" w:rsidRPr="006847BA">
        <w:rPr>
          <w:lang/>
        </w:rPr>
        <w:t xml:space="preserve"> </w:t>
      </w:r>
      <w:r w:rsidR="006847BA" w:rsidRPr="006847BA">
        <w:rPr>
          <w:rStyle w:val="hps"/>
          <w:lang/>
        </w:rPr>
        <w:t>programme by which</w:t>
      </w:r>
      <w:r w:rsidR="006847BA" w:rsidRPr="006847BA">
        <w:rPr>
          <w:lang/>
        </w:rPr>
        <w:t xml:space="preserve"> </w:t>
      </w:r>
      <w:r w:rsidR="006847BA" w:rsidRPr="006847BA">
        <w:rPr>
          <w:rStyle w:val="hps"/>
          <w:lang/>
        </w:rPr>
        <w:t xml:space="preserve">both Greek and Turkish are used as languages of instruction but also constitute separate language subjects in the curriculum. </w:t>
      </w:r>
    </w:p>
    <w:p w:rsidR="006847BA" w:rsidRPr="006847BA" w:rsidRDefault="006847BA" w:rsidP="006847BA">
      <w:pPr>
        <w:jc w:val="both"/>
        <w:rPr>
          <w:rStyle w:val="hps"/>
          <w:highlight w:val="darkYellow"/>
          <w:lang/>
        </w:rPr>
      </w:pPr>
    </w:p>
    <w:p w:rsidR="006847BA" w:rsidRPr="006847BA" w:rsidRDefault="00EA19C8" w:rsidP="006847BA">
      <w:pPr>
        <w:jc w:val="both"/>
        <w:rPr>
          <w:bCs/>
          <w:lang w:val="en-US"/>
        </w:rPr>
      </w:pPr>
      <w:r>
        <w:rPr>
          <w:bCs/>
          <w:lang/>
        </w:rPr>
        <w:lastRenderedPageBreak/>
        <w:t>310.</w:t>
      </w:r>
      <w:r>
        <w:rPr>
          <w:bCs/>
          <w:lang/>
        </w:rPr>
        <w:tab/>
      </w:r>
      <w:r w:rsidR="006847BA" w:rsidRPr="006847BA">
        <w:rPr>
          <w:bCs/>
          <w:lang/>
        </w:rPr>
        <w:t>A</w:t>
      </w:r>
      <w:r w:rsidR="006847BA" w:rsidRPr="006847BA">
        <w:rPr>
          <w:bCs/>
          <w:lang w:val="en-US"/>
        </w:rPr>
        <w:t xml:space="preserve">n increasing number of persons belonging to the Muslim minority in Thrace are showing a preference for the state mainstream educational system. The competent authorities have successfully accommodated this preference, while offering courses aimed at preserving the cultural and linguistic characteristics of persons belonging to the minority who attend mainstream schools. </w:t>
      </w:r>
    </w:p>
    <w:p w:rsidR="006847BA" w:rsidRPr="006847BA" w:rsidRDefault="006847BA" w:rsidP="006847BA">
      <w:pPr>
        <w:jc w:val="both"/>
        <w:rPr>
          <w:bCs/>
          <w:lang w:val="en-US"/>
        </w:rPr>
      </w:pPr>
    </w:p>
    <w:p w:rsidR="006847BA" w:rsidRPr="006847BA" w:rsidRDefault="00EA19C8" w:rsidP="006847BA">
      <w:pPr>
        <w:jc w:val="both"/>
        <w:rPr>
          <w:bCs/>
          <w:lang w:val="en-US"/>
        </w:rPr>
      </w:pPr>
      <w:r>
        <w:rPr>
          <w:bCs/>
          <w:lang w:val="en-US"/>
        </w:rPr>
        <w:t>311.</w:t>
      </w:r>
      <w:r>
        <w:rPr>
          <w:bCs/>
          <w:lang w:val="en-US"/>
        </w:rPr>
        <w:tab/>
      </w:r>
      <w:r w:rsidR="006847BA" w:rsidRPr="006847BA">
        <w:rPr>
          <w:bCs/>
          <w:lang w:val="en-US"/>
        </w:rPr>
        <w:t>In this direction, Turkish optional language courses have been introduced, as a pilot programme, in five state junior high schools in Thrace. At the same time, Greek language &amp; civilization courses are available for Muslim parents. This two-tier approach has proven useful to both students and parents who are members of the Muslim minority.</w:t>
      </w:r>
    </w:p>
    <w:p w:rsidR="006847BA" w:rsidRPr="006847BA" w:rsidRDefault="006847BA" w:rsidP="006847BA">
      <w:pPr>
        <w:jc w:val="both"/>
        <w:rPr>
          <w:rStyle w:val="hps"/>
          <w:lang w:val="en-US"/>
        </w:rPr>
      </w:pPr>
    </w:p>
    <w:p w:rsidR="006847BA" w:rsidRPr="006847BA" w:rsidRDefault="00EA19C8" w:rsidP="006847BA">
      <w:pPr>
        <w:jc w:val="both"/>
        <w:rPr>
          <w:bCs/>
          <w:lang/>
        </w:rPr>
      </w:pPr>
      <w:r>
        <w:rPr>
          <w:rStyle w:val="hps"/>
          <w:lang/>
        </w:rPr>
        <w:t>312.</w:t>
      </w:r>
      <w:r>
        <w:rPr>
          <w:rStyle w:val="hps"/>
          <w:lang/>
        </w:rPr>
        <w:tab/>
      </w:r>
      <w:r w:rsidR="006847BA" w:rsidRPr="006847BA">
        <w:rPr>
          <w:rStyle w:val="hps"/>
          <w:lang/>
        </w:rPr>
        <w:t>Almost all</w:t>
      </w:r>
      <w:r w:rsidR="006847BA" w:rsidRPr="006847BA">
        <w:rPr>
          <w:lang/>
        </w:rPr>
        <w:t xml:space="preserve"> </w:t>
      </w:r>
      <w:r w:rsidR="006847BA" w:rsidRPr="006847BA">
        <w:rPr>
          <w:rStyle w:val="hps"/>
          <w:lang/>
        </w:rPr>
        <w:t>students</w:t>
      </w:r>
      <w:r w:rsidR="006847BA" w:rsidRPr="006847BA">
        <w:rPr>
          <w:lang/>
        </w:rPr>
        <w:t xml:space="preserve"> </w:t>
      </w:r>
      <w:r w:rsidR="006847BA" w:rsidRPr="006847BA">
        <w:rPr>
          <w:rStyle w:val="hps"/>
          <w:lang/>
        </w:rPr>
        <w:t>complete the</w:t>
      </w:r>
      <w:r w:rsidR="006847BA" w:rsidRPr="006847BA">
        <w:rPr>
          <w:lang/>
        </w:rPr>
        <w:t xml:space="preserve"> </w:t>
      </w:r>
      <w:r w:rsidR="006847BA" w:rsidRPr="006847BA">
        <w:rPr>
          <w:rStyle w:val="hps"/>
          <w:lang/>
        </w:rPr>
        <w:t>elementary</w:t>
      </w:r>
      <w:r w:rsidR="006847BA" w:rsidRPr="006847BA">
        <w:rPr>
          <w:lang/>
        </w:rPr>
        <w:t xml:space="preserve"> </w:t>
      </w:r>
      <w:r w:rsidR="006847BA" w:rsidRPr="006847BA">
        <w:rPr>
          <w:rStyle w:val="hps"/>
          <w:lang/>
        </w:rPr>
        <w:t>education</w:t>
      </w:r>
      <w:r w:rsidR="006847BA" w:rsidRPr="006847BA">
        <w:rPr>
          <w:lang/>
        </w:rPr>
        <w:t xml:space="preserve"> programme while t</w:t>
      </w:r>
      <w:r w:rsidR="006847BA" w:rsidRPr="006847BA">
        <w:rPr>
          <w:rStyle w:val="hps"/>
          <w:lang/>
        </w:rPr>
        <w:t>he number</w:t>
      </w:r>
      <w:r w:rsidR="006847BA" w:rsidRPr="006847BA">
        <w:rPr>
          <w:lang/>
        </w:rPr>
        <w:t xml:space="preserve"> </w:t>
      </w:r>
      <w:r w:rsidR="006847BA" w:rsidRPr="006847BA">
        <w:rPr>
          <w:rStyle w:val="hps"/>
          <w:lang/>
        </w:rPr>
        <w:t>of minority students</w:t>
      </w:r>
      <w:r w:rsidR="006847BA" w:rsidRPr="006847BA">
        <w:rPr>
          <w:lang/>
        </w:rPr>
        <w:t xml:space="preserve"> </w:t>
      </w:r>
      <w:r w:rsidR="006847BA" w:rsidRPr="006847BA">
        <w:rPr>
          <w:rStyle w:val="hps"/>
          <w:lang/>
        </w:rPr>
        <w:t>attending</w:t>
      </w:r>
      <w:r w:rsidR="006847BA" w:rsidRPr="006847BA">
        <w:rPr>
          <w:lang/>
        </w:rPr>
        <w:t xml:space="preserve"> </w:t>
      </w:r>
      <w:r w:rsidR="006847BA" w:rsidRPr="006847BA">
        <w:rPr>
          <w:rStyle w:val="hps"/>
          <w:lang/>
        </w:rPr>
        <w:t>secondary school</w:t>
      </w:r>
      <w:r w:rsidR="006847BA" w:rsidRPr="006847BA">
        <w:rPr>
          <w:lang/>
        </w:rPr>
        <w:t xml:space="preserve"> </w:t>
      </w:r>
      <w:r w:rsidR="006847BA" w:rsidRPr="006847BA">
        <w:rPr>
          <w:rStyle w:val="hps"/>
          <w:lang/>
        </w:rPr>
        <w:t>has significantly increased</w:t>
      </w:r>
      <w:r w:rsidR="006847BA" w:rsidRPr="006847BA">
        <w:rPr>
          <w:lang/>
        </w:rPr>
        <w:t xml:space="preserve"> </w:t>
      </w:r>
      <w:r w:rsidR="006847BA" w:rsidRPr="006847BA">
        <w:rPr>
          <w:rStyle w:val="hps"/>
          <w:lang/>
        </w:rPr>
        <w:t>in the last</w:t>
      </w:r>
      <w:r w:rsidR="006847BA" w:rsidRPr="006847BA">
        <w:rPr>
          <w:lang/>
        </w:rPr>
        <w:t xml:space="preserve"> </w:t>
      </w:r>
      <w:r w:rsidR="006847BA" w:rsidRPr="006847BA">
        <w:rPr>
          <w:rStyle w:val="hps"/>
          <w:lang/>
        </w:rPr>
        <w:t>10 years</w:t>
      </w:r>
      <w:r w:rsidR="006847BA" w:rsidRPr="006847BA">
        <w:rPr>
          <w:lang/>
        </w:rPr>
        <w:t xml:space="preserve">. </w:t>
      </w:r>
      <w:r w:rsidR="006847BA" w:rsidRPr="006847BA">
        <w:rPr>
          <w:rStyle w:val="hps"/>
          <w:lang/>
        </w:rPr>
        <w:t>About one quarter</w:t>
      </w:r>
      <w:r w:rsidR="006847BA" w:rsidRPr="006847BA">
        <w:rPr>
          <w:lang/>
        </w:rPr>
        <w:t xml:space="preserve"> </w:t>
      </w:r>
      <w:r w:rsidR="006847BA" w:rsidRPr="006847BA">
        <w:rPr>
          <w:rStyle w:val="hps"/>
          <w:lang/>
        </w:rPr>
        <w:t>attend a</w:t>
      </w:r>
      <w:r w:rsidR="006847BA" w:rsidRPr="006847BA">
        <w:rPr>
          <w:lang/>
        </w:rPr>
        <w:t xml:space="preserve"> </w:t>
      </w:r>
      <w:r w:rsidR="006847BA" w:rsidRPr="006847BA">
        <w:rPr>
          <w:rStyle w:val="hps"/>
          <w:lang/>
        </w:rPr>
        <w:t>school</w:t>
      </w:r>
      <w:r w:rsidR="006847BA" w:rsidRPr="006847BA">
        <w:rPr>
          <w:lang/>
        </w:rPr>
        <w:t xml:space="preserve"> </w:t>
      </w:r>
      <w:r w:rsidR="006847BA" w:rsidRPr="006847BA">
        <w:rPr>
          <w:rStyle w:val="hps"/>
          <w:lang/>
        </w:rPr>
        <w:t>exclusively for the</w:t>
      </w:r>
      <w:r w:rsidR="006847BA" w:rsidRPr="006847BA">
        <w:rPr>
          <w:lang/>
        </w:rPr>
        <w:t xml:space="preserve"> </w:t>
      </w:r>
      <w:r w:rsidR="006847BA" w:rsidRPr="006847BA">
        <w:rPr>
          <w:rStyle w:val="hps"/>
          <w:lang/>
        </w:rPr>
        <w:t>minority (</w:t>
      </w:r>
      <w:r w:rsidR="006847BA" w:rsidRPr="006847BA">
        <w:rPr>
          <w:lang/>
        </w:rPr>
        <w:t xml:space="preserve">minority </w:t>
      </w:r>
      <w:r w:rsidR="006847BA" w:rsidRPr="006847BA">
        <w:rPr>
          <w:rStyle w:val="hps"/>
          <w:lang/>
        </w:rPr>
        <w:t>high school or</w:t>
      </w:r>
      <w:r w:rsidR="006847BA" w:rsidRPr="006847BA">
        <w:rPr>
          <w:lang/>
        </w:rPr>
        <w:t xml:space="preserve"> seminary), </w:t>
      </w:r>
      <w:r w:rsidR="006847BA" w:rsidRPr="006847BA">
        <w:rPr>
          <w:rStyle w:val="hps"/>
          <w:lang/>
        </w:rPr>
        <w:t>while</w:t>
      </w:r>
      <w:r w:rsidR="006847BA" w:rsidRPr="006847BA">
        <w:rPr>
          <w:lang/>
        </w:rPr>
        <w:t xml:space="preserve"> </w:t>
      </w:r>
      <w:r w:rsidR="006847BA" w:rsidRPr="006847BA">
        <w:rPr>
          <w:rStyle w:val="hps"/>
          <w:lang/>
        </w:rPr>
        <w:t>three quarters</w:t>
      </w:r>
      <w:r w:rsidR="006847BA" w:rsidRPr="006847BA">
        <w:rPr>
          <w:lang/>
        </w:rPr>
        <w:t xml:space="preserve"> </w:t>
      </w:r>
      <w:r w:rsidR="006847BA" w:rsidRPr="006847BA">
        <w:rPr>
          <w:rStyle w:val="hps"/>
          <w:lang/>
        </w:rPr>
        <w:t>of students</w:t>
      </w:r>
      <w:r w:rsidR="006847BA" w:rsidRPr="006847BA">
        <w:rPr>
          <w:lang/>
        </w:rPr>
        <w:t xml:space="preserve"> </w:t>
      </w:r>
      <w:r w:rsidR="006847BA" w:rsidRPr="006847BA">
        <w:rPr>
          <w:rStyle w:val="hps"/>
          <w:lang/>
        </w:rPr>
        <w:t>are</w:t>
      </w:r>
      <w:r w:rsidR="006847BA" w:rsidRPr="006847BA">
        <w:rPr>
          <w:lang/>
        </w:rPr>
        <w:t xml:space="preserve"> </w:t>
      </w:r>
      <w:r w:rsidR="006847BA" w:rsidRPr="006847BA">
        <w:rPr>
          <w:rStyle w:val="hps"/>
          <w:lang/>
        </w:rPr>
        <w:t>in public</w:t>
      </w:r>
      <w:r w:rsidR="006847BA" w:rsidRPr="006847BA">
        <w:rPr>
          <w:lang/>
        </w:rPr>
        <w:t xml:space="preserve"> mainstream </w:t>
      </w:r>
      <w:r w:rsidR="006847BA" w:rsidRPr="006847BA">
        <w:rPr>
          <w:rStyle w:val="hps"/>
          <w:lang/>
        </w:rPr>
        <w:t>schools.</w:t>
      </w:r>
      <w:r w:rsidR="006847BA" w:rsidRPr="006847BA">
        <w:rPr>
          <w:lang/>
        </w:rPr>
        <w:t xml:space="preserve"> D</w:t>
      </w:r>
      <w:r w:rsidR="006847BA" w:rsidRPr="006847BA">
        <w:rPr>
          <w:rStyle w:val="hps"/>
          <w:lang/>
        </w:rPr>
        <w:t>espite</w:t>
      </w:r>
      <w:r w:rsidR="006847BA" w:rsidRPr="006847BA">
        <w:rPr>
          <w:lang/>
        </w:rPr>
        <w:t xml:space="preserve"> </w:t>
      </w:r>
      <w:r w:rsidR="006847BA" w:rsidRPr="006847BA">
        <w:rPr>
          <w:rStyle w:val="hps"/>
          <w:lang/>
        </w:rPr>
        <w:t>the improvement</w:t>
      </w:r>
      <w:r w:rsidR="006847BA" w:rsidRPr="006847BA">
        <w:rPr>
          <w:lang/>
        </w:rPr>
        <w:t xml:space="preserve"> </w:t>
      </w:r>
      <w:r w:rsidR="006847BA" w:rsidRPr="006847BA">
        <w:rPr>
          <w:rStyle w:val="hps"/>
          <w:lang/>
        </w:rPr>
        <w:t>observed</w:t>
      </w:r>
      <w:r w:rsidR="006847BA" w:rsidRPr="006847BA">
        <w:rPr>
          <w:lang/>
        </w:rPr>
        <w:t xml:space="preserve">, until recently </w:t>
      </w:r>
      <w:r w:rsidR="006847BA" w:rsidRPr="006847BA">
        <w:rPr>
          <w:rStyle w:val="hps"/>
          <w:lang/>
        </w:rPr>
        <w:t>there were</w:t>
      </w:r>
      <w:r w:rsidR="006847BA" w:rsidRPr="006847BA">
        <w:rPr>
          <w:lang/>
        </w:rPr>
        <w:t xml:space="preserve"> </w:t>
      </w:r>
      <w:r w:rsidR="006847BA" w:rsidRPr="006847BA">
        <w:rPr>
          <w:rStyle w:val="hps"/>
          <w:lang/>
        </w:rPr>
        <w:t>frequent</w:t>
      </w:r>
      <w:r w:rsidR="006847BA" w:rsidRPr="006847BA">
        <w:rPr>
          <w:lang/>
        </w:rPr>
        <w:t xml:space="preserve"> </w:t>
      </w:r>
      <w:r w:rsidR="006847BA" w:rsidRPr="006847BA">
        <w:rPr>
          <w:rStyle w:val="hps"/>
          <w:lang/>
        </w:rPr>
        <w:t>grade repetitions</w:t>
      </w:r>
      <w:r w:rsidR="006847BA" w:rsidRPr="006847BA">
        <w:rPr>
          <w:lang/>
        </w:rPr>
        <w:t xml:space="preserve"> </w:t>
      </w:r>
      <w:r w:rsidR="006847BA" w:rsidRPr="006847BA">
        <w:rPr>
          <w:rStyle w:val="hps"/>
          <w:lang/>
        </w:rPr>
        <w:t>or</w:t>
      </w:r>
      <w:r w:rsidR="006847BA" w:rsidRPr="006847BA">
        <w:rPr>
          <w:lang/>
        </w:rPr>
        <w:t xml:space="preserve"> </w:t>
      </w:r>
      <w:r w:rsidR="006847BA" w:rsidRPr="006847BA">
        <w:rPr>
          <w:rStyle w:val="hps"/>
          <w:lang/>
        </w:rPr>
        <w:t>dropouts</w:t>
      </w:r>
      <w:r w:rsidR="006847BA" w:rsidRPr="006847BA">
        <w:rPr>
          <w:lang/>
        </w:rPr>
        <w:t xml:space="preserve">. </w:t>
      </w:r>
      <w:r w:rsidR="006847BA" w:rsidRPr="006847BA">
        <w:rPr>
          <w:sz w:val="23"/>
          <w:szCs w:val="23"/>
          <w:lang w:val="en-US"/>
        </w:rPr>
        <w:t xml:space="preserve">A basic aim of the programme for the “Education of the Children of the Muslim Minority in Thrace” is to support the said children in order to accomplish systematic improvement of their school performance that will lead to reduction of drop-out rates, as well as to enhance successful school attendance in Senior High School with the overall aim to reach the national mean and, consequently, increase university entrance. </w:t>
      </w:r>
    </w:p>
    <w:p w:rsidR="006847BA" w:rsidRPr="006847BA" w:rsidRDefault="006847BA" w:rsidP="006847BA">
      <w:pPr>
        <w:jc w:val="both"/>
        <w:rPr>
          <w:bCs/>
          <w:lang/>
        </w:rPr>
      </w:pPr>
    </w:p>
    <w:p w:rsidR="006847BA" w:rsidRPr="006847BA" w:rsidRDefault="00EA19C8" w:rsidP="006847BA">
      <w:pPr>
        <w:jc w:val="both"/>
        <w:rPr>
          <w:bCs/>
          <w:lang/>
        </w:rPr>
      </w:pPr>
      <w:r>
        <w:rPr>
          <w:bCs/>
          <w:lang/>
        </w:rPr>
        <w:t>313.</w:t>
      </w:r>
      <w:r>
        <w:rPr>
          <w:bCs/>
          <w:lang/>
        </w:rPr>
        <w:tab/>
      </w:r>
      <w:r w:rsidR="006847BA" w:rsidRPr="006847BA">
        <w:rPr>
          <w:bCs/>
          <w:lang/>
        </w:rPr>
        <w:t>Since academic year 2006-2007</w:t>
      </w:r>
      <w:r w:rsidR="00405628">
        <w:rPr>
          <w:bCs/>
          <w:lang/>
        </w:rPr>
        <w:t xml:space="preserve">, </w:t>
      </w:r>
      <w:r w:rsidR="006847BA" w:rsidRPr="006847BA">
        <w:rPr>
          <w:bCs/>
          <w:lang/>
        </w:rPr>
        <w:t xml:space="preserve">a 0.5% quota for the admission to Universities and Higher Technical Educational Institutes of students who are members of the Muslim minority in Thrace has been introduced. The obvious advantage of this measure is the promotion of the acquisition of higher academic and professional qualification of the persons belonging to the Muslim minority in Thrace in an effective and inclusive way as well as their improved access to the job market. </w:t>
      </w:r>
    </w:p>
    <w:p w:rsidR="006847BA" w:rsidRPr="006847BA" w:rsidRDefault="006847BA" w:rsidP="006847BA">
      <w:pPr>
        <w:pStyle w:val="BodyText2"/>
        <w:ind w:right="26"/>
        <w:jc w:val="both"/>
        <w:rPr>
          <w:rFonts w:ascii="Times New Roman" w:hAnsi="Times New Roman" w:cs="Times New Roman"/>
          <w:bCs/>
          <w:color w:val="auto"/>
          <w:sz w:val="24"/>
          <w:szCs w:val="24"/>
          <w:u w:val="single"/>
          <w:lang/>
        </w:rPr>
      </w:pPr>
    </w:p>
    <w:p w:rsidR="006847BA" w:rsidRPr="006847BA" w:rsidRDefault="006847BA" w:rsidP="006847BA">
      <w:pPr>
        <w:ind w:right="26"/>
        <w:jc w:val="both"/>
        <w:rPr>
          <w:b/>
          <w:caps/>
          <w:u w:val="single"/>
          <w:lang w:val="en-US"/>
        </w:rPr>
      </w:pPr>
      <w:r w:rsidRPr="006847BA">
        <w:rPr>
          <w:b/>
          <w:bCs/>
          <w:lang w:val="en-US"/>
        </w:rPr>
        <w:t>The Education of the Greek Roma students</w:t>
      </w:r>
      <w:r w:rsidRPr="006847BA">
        <w:rPr>
          <w:bCs/>
          <w:lang w:val="en-US"/>
        </w:rPr>
        <w:t xml:space="preserve"> </w:t>
      </w:r>
      <w:r w:rsidRPr="006847BA">
        <w:rPr>
          <w:b/>
          <w:caps/>
          <w:lang w:val="en-US"/>
        </w:rPr>
        <w:t>(</w:t>
      </w:r>
      <w:r w:rsidRPr="006847BA">
        <w:rPr>
          <w:b/>
          <w:lang w:val="en-US"/>
        </w:rPr>
        <w:t>paras. 28 and 50 of the Committee’s Concluding Observations)</w:t>
      </w:r>
    </w:p>
    <w:p w:rsidR="006847BA" w:rsidRPr="006847BA" w:rsidRDefault="006847BA" w:rsidP="006847BA">
      <w:pPr>
        <w:ind w:left="180" w:right="26"/>
        <w:jc w:val="both"/>
        <w:rPr>
          <w:b/>
          <w:caps/>
          <w:u w:val="single"/>
          <w:lang w:val="en-US"/>
        </w:rPr>
      </w:pPr>
    </w:p>
    <w:p w:rsidR="006847BA" w:rsidRPr="006847BA" w:rsidRDefault="00EA19C8" w:rsidP="006847BA">
      <w:pPr>
        <w:jc w:val="both"/>
        <w:rPr>
          <w:lang w:val="en-US"/>
        </w:rPr>
      </w:pPr>
      <w:r>
        <w:rPr>
          <w:lang w:val="en-US"/>
        </w:rPr>
        <w:t>314.</w:t>
      </w:r>
      <w:r>
        <w:rPr>
          <w:lang w:val="en-US"/>
        </w:rPr>
        <w:tab/>
      </w:r>
      <w:r w:rsidR="006847BA" w:rsidRPr="006847BA">
        <w:rPr>
          <w:lang w:val="en-US"/>
        </w:rPr>
        <w:t>Roma children education constitutes a central objective of the Greek education policy. Although Roma children are entitled by law to the same schooling as all other Greek citizens, the Ministry of Education has been applying special projects and actions considering the special needs of the Roma population and the prejudice that Roma children might face during their education.</w:t>
      </w:r>
    </w:p>
    <w:p w:rsidR="006847BA" w:rsidRPr="006847BA" w:rsidRDefault="006847BA" w:rsidP="006847BA">
      <w:pPr>
        <w:jc w:val="both"/>
        <w:rPr>
          <w:lang w:val="en-US"/>
        </w:rPr>
      </w:pPr>
    </w:p>
    <w:p w:rsidR="006847BA" w:rsidRPr="006847BA" w:rsidRDefault="00EA19C8" w:rsidP="006847BA">
      <w:pPr>
        <w:jc w:val="both"/>
        <w:rPr>
          <w:rStyle w:val="hps"/>
          <w:b/>
          <w:lang/>
        </w:rPr>
      </w:pPr>
      <w:r>
        <w:rPr>
          <w:rStyle w:val="hps"/>
          <w:lang/>
        </w:rPr>
        <w:t>315.</w:t>
      </w:r>
      <w:r>
        <w:rPr>
          <w:rStyle w:val="hps"/>
          <w:lang/>
        </w:rPr>
        <w:tab/>
      </w:r>
      <w:r w:rsidR="006847BA" w:rsidRPr="006847BA">
        <w:rPr>
          <w:rStyle w:val="hps"/>
          <w:lang/>
        </w:rPr>
        <w:t>The main axes of the Greek Ministry of</w:t>
      </w:r>
      <w:r w:rsidR="006847BA" w:rsidRPr="006847BA">
        <w:rPr>
          <w:lang/>
        </w:rPr>
        <w:t xml:space="preserve"> </w:t>
      </w:r>
      <w:r w:rsidR="006847BA" w:rsidRPr="006847BA">
        <w:rPr>
          <w:rStyle w:val="hps"/>
          <w:lang/>
        </w:rPr>
        <w:t>Education policy for Roma education are reflected in the project</w:t>
      </w:r>
      <w:r w:rsidR="006847BA" w:rsidRPr="006847BA">
        <w:rPr>
          <w:lang/>
        </w:rPr>
        <w:t xml:space="preserve"> </w:t>
      </w:r>
      <w:r w:rsidR="006847BA" w:rsidRPr="006847BA">
        <w:rPr>
          <w:rStyle w:val="hps"/>
          <w:lang/>
        </w:rPr>
        <w:t>"Education</w:t>
      </w:r>
      <w:r w:rsidR="006847BA" w:rsidRPr="006847BA">
        <w:rPr>
          <w:lang/>
        </w:rPr>
        <w:t xml:space="preserve"> </w:t>
      </w:r>
      <w:r w:rsidR="006847BA" w:rsidRPr="006847BA">
        <w:rPr>
          <w:rStyle w:val="hps"/>
          <w:lang/>
        </w:rPr>
        <w:t>of</w:t>
      </w:r>
      <w:r w:rsidR="006847BA" w:rsidRPr="006847BA">
        <w:rPr>
          <w:lang/>
        </w:rPr>
        <w:t xml:space="preserve"> </w:t>
      </w:r>
      <w:r w:rsidR="006847BA" w:rsidRPr="006847BA">
        <w:rPr>
          <w:rStyle w:val="hps"/>
          <w:lang/>
        </w:rPr>
        <w:t>Roma children”. On the one hand, the project aims</w:t>
      </w:r>
      <w:r w:rsidR="006847BA" w:rsidRPr="006847BA">
        <w:rPr>
          <w:lang/>
        </w:rPr>
        <w:t xml:space="preserve"> </w:t>
      </w:r>
      <w:r w:rsidR="006847BA" w:rsidRPr="006847BA">
        <w:rPr>
          <w:rStyle w:val="hps"/>
          <w:lang/>
        </w:rPr>
        <w:t>to</w:t>
      </w:r>
      <w:r w:rsidR="006847BA" w:rsidRPr="006847BA">
        <w:rPr>
          <w:lang/>
        </w:rPr>
        <w:t xml:space="preserve"> </w:t>
      </w:r>
      <w:r w:rsidR="006847BA" w:rsidRPr="006847BA">
        <w:rPr>
          <w:rStyle w:val="hps"/>
          <w:lang/>
        </w:rPr>
        <w:t>enhance</w:t>
      </w:r>
      <w:r w:rsidR="006847BA" w:rsidRPr="006847BA">
        <w:rPr>
          <w:lang/>
        </w:rPr>
        <w:t xml:space="preserve"> </w:t>
      </w:r>
      <w:r w:rsidR="006847BA" w:rsidRPr="006847BA">
        <w:rPr>
          <w:rStyle w:val="hps"/>
          <w:lang/>
        </w:rPr>
        <w:t>access and</w:t>
      </w:r>
      <w:r w:rsidR="006847BA" w:rsidRPr="006847BA">
        <w:rPr>
          <w:lang/>
        </w:rPr>
        <w:t xml:space="preserve"> </w:t>
      </w:r>
      <w:r w:rsidR="006847BA" w:rsidRPr="006847BA">
        <w:rPr>
          <w:rStyle w:val="hps"/>
          <w:lang/>
        </w:rPr>
        <w:t>participation</w:t>
      </w:r>
      <w:r w:rsidR="006847BA" w:rsidRPr="006847BA">
        <w:rPr>
          <w:lang/>
        </w:rPr>
        <w:t xml:space="preserve"> </w:t>
      </w:r>
      <w:r w:rsidR="006847BA" w:rsidRPr="006847BA">
        <w:rPr>
          <w:rStyle w:val="hps"/>
          <w:lang/>
        </w:rPr>
        <w:t>of</w:t>
      </w:r>
      <w:r w:rsidR="006847BA" w:rsidRPr="006847BA">
        <w:rPr>
          <w:lang/>
        </w:rPr>
        <w:t xml:space="preserve"> </w:t>
      </w:r>
      <w:r w:rsidR="006847BA" w:rsidRPr="006847BA">
        <w:rPr>
          <w:rStyle w:val="hps"/>
          <w:lang/>
        </w:rPr>
        <w:t>Roma children</w:t>
      </w:r>
      <w:r w:rsidR="006847BA" w:rsidRPr="006847BA">
        <w:rPr>
          <w:lang/>
        </w:rPr>
        <w:t xml:space="preserve"> </w:t>
      </w:r>
      <w:r w:rsidR="006847BA" w:rsidRPr="006847BA">
        <w:rPr>
          <w:rStyle w:val="hps"/>
          <w:lang/>
        </w:rPr>
        <w:t>in education</w:t>
      </w:r>
      <w:r w:rsidR="006847BA" w:rsidRPr="006847BA">
        <w:rPr>
          <w:lang/>
        </w:rPr>
        <w:t xml:space="preserve">, </w:t>
      </w:r>
      <w:r w:rsidR="006847BA" w:rsidRPr="006847BA">
        <w:rPr>
          <w:rStyle w:val="hps"/>
          <w:lang/>
        </w:rPr>
        <w:t>with</w:t>
      </w:r>
      <w:r w:rsidR="006847BA" w:rsidRPr="006847BA">
        <w:rPr>
          <w:lang/>
        </w:rPr>
        <w:t xml:space="preserve"> </w:t>
      </w:r>
      <w:r w:rsidR="006847BA" w:rsidRPr="006847BA">
        <w:rPr>
          <w:rStyle w:val="hps"/>
          <w:lang/>
        </w:rPr>
        <w:t>particular</w:t>
      </w:r>
      <w:r w:rsidR="006847BA" w:rsidRPr="006847BA">
        <w:rPr>
          <w:lang/>
        </w:rPr>
        <w:t xml:space="preserve"> </w:t>
      </w:r>
      <w:r w:rsidR="006847BA" w:rsidRPr="006847BA">
        <w:rPr>
          <w:rStyle w:val="hps"/>
          <w:lang/>
        </w:rPr>
        <w:t>emphasis</w:t>
      </w:r>
      <w:r w:rsidR="006847BA" w:rsidRPr="006847BA">
        <w:rPr>
          <w:lang/>
        </w:rPr>
        <w:t xml:space="preserve"> </w:t>
      </w:r>
      <w:r w:rsidR="006847BA" w:rsidRPr="006847BA">
        <w:rPr>
          <w:rStyle w:val="hps"/>
          <w:lang/>
        </w:rPr>
        <w:t>on</w:t>
      </w:r>
      <w:r w:rsidR="006847BA" w:rsidRPr="006847BA">
        <w:rPr>
          <w:lang/>
        </w:rPr>
        <w:t xml:space="preserve"> </w:t>
      </w:r>
      <w:r w:rsidR="006847BA" w:rsidRPr="006847BA">
        <w:rPr>
          <w:rStyle w:val="hps"/>
          <w:lang/>
        </w:rPr>
        <w:t>preschool</w:t>
      </w:r>
      <w:r w:rsidR="006847BA" w:rsidRPr="006847BA">
        <w:rPr>
          <w:lang/>
        </w:rPr>
        <w:t xml:space="preserve"> </w:t>
      </w:r>
      <w:r w:rsidR="006847BA" w:rsidRPr="006847BA">
        <w:rPr>
          <w:rStyle w:val="hps"/>
          <w:lang/>
        </w:rPr>
        <w:t>education</w:t>
      </w:r>
      <w:r w:rsidR="006847BA" w:rsidRPr="006847BA">
        <w:rPr>
          <w:lang/>
        </w:rPr>
        <w:t xml:space="preserve"> and early </w:t>
      </w:r>
      <w:r w:rsidR="006847BA" w:rsidRPr="006847BA">
        <w:rPr>
          <w:rStyle w:val="hps"/>
          <w:lang/>
        </w:rPr>
        <w:t>enrollment</w:t>
      </w:r>
      <w:r w:rsidR="006847BA" w:rsidRPr="006847BA">
        <w:rPr>
          <w:lang/>
        </w:rPr>
        <w:t xml:space="preserve"> </w:t>
      </w:r>
      <w:r w:rsidR="006847BA" w:rsidRPr="006847BA">
        <w:rPr>
          <w:rStyle w:val="hps"/>
          <w:lang/>
        </w:rPr>
        <w:t>in</w:t>
      </w:r>
      <w:r w:rsidR="006847BA" w:rsidRPr="006847BA">
        <w:rPr>
          <w:lang/>
        </w:rPr>
        <w:t xml:space="preserve"> the 1</w:t>
      </w:r>
      <w:r w:rsidR="006847BA" w:rsidRPr="006847BA">
        <w:rPr>
          <w:vertAlign w:val="superscript"/>
          <w:lang/>
        </w:rPr>
        <w:t>st</w:t>
      </w:r>
      <w:r w:rsidR="006847BA" w:rsidRPr="006847BA">
        <w:rPr>
          <w:lang/>
        </w:rPr>
        <w:t xml:space="preserve"> grade of </w:t>
      </w:r>
      <w:r w:rsidR="006847BA" w:rsidRPr="006847BA">
        <w:rPr>
          <w:rStyle w:val="hps"/>
          <w:lang/>
        </w:rPr>
        <w:t>primary</w:t>
      </w:r>
      <w:r w:rsidR="006847BA" w:rsidRPr="006847BA">
        <w:rPr>
          <w:lang/>
        </w:rPr>
        <w:t xml:space="preserve"> school. On the other hand, emphasis is placed on i</w:t>
      </w:r>
      <w:r w:rsidR="006847BA" w:rsidRPr="006847BA">
        <w:rPr>
          <w:rStyle w:val="hps"/>
          <w:lang/>
        </w:rPr>
        <w:t>n-school</w:t>
      </w:r>
      <w:r w:rsidR="006847BA" w:rsidRPr="006847BA">
        <w:rPr>
          <w:lang/>
        </w:rPr>
        <w:t xml:space="preserve"> </w:t>
      </w:r>
      <w:r w:rsidR="006847BA" w:rsidRPr="006847BA">
        <w:rPr>
          <w:rStyle w:val="hps"/>
          <w:lang/>
        </w:rPr>
        <w:t>interventions for the</w:t>
      </w:r>
      <w:r w:rsidR="006847BA" w:rsidRPr="006847BA">
        <w:rPr>
          <w:lang/>
        </w:rPr>
        <w:t xml:space="preserve"> </w:t>
      </w:r>
      <w:r w:rsidR="006847BA" w:rsidRPr="006847BA">
        <w:rPr>
          <w:rStyle w:val="hps"/>
          <w:lang/>
        </w:rPr>
        <w:t>improvement of</w:t>
      </w:r>
      <w:r w:rsidR="006847BA" w:rsidRPr="006847BA">
        <w:rPr>
          <w:lang/>
        </w:rPr>
        <w:t xml:space="preserve"> </w:t>
      </w:r>
      <w:r w:rsidR="006847BA" w:rsidRPr="006847BA">
        <w:rPr>
          <w:rStyle w:val="hps"/>
          <w:lang/>
        </w:rPr>
        <w:t>the</w:t>
      </w:r>
      <w:r w:rsidR="006847BA" w:rsidRPr="006847BA">
        <w:rPr>
          <w:lang/>
        </w:rPr>
        <w:t xml:space="preserve"> </w:t>
      </w:r>
      <w:r w:rsidR="006847BA" w:rsidRPr="006847BA">
        <w:rPr>
          <w:rStyle w:val="hps"/>
          <w:lang/>
        </w:rPr>
        <w:t>education</w:t>
      </w:r>
      <w:r w:rsidR="006847BA" w:rsidRPr="006847BA">
        <w:rPr>
          <w:lang/>
        </w:rPr>
        <w:t xml:space="preserve"> </w:t>
      </w:r>
      <w:r w:rsidR="006847BA" w:rsidRPr="006847BA">
        <w:rPr>
          <w:rStyle w:val="hps"/>
          <w:lang/>
        </w:rPr>
        <w:t>provided</w:t>
      </w:r>
      <w:r w:rsidR="006847BA" w:rsidRPr="006847BA">
        <w:rPr>
          <w:lang/>
        </w:rPr>
        <w:t xml:space="preserve"> </w:t>
      </w:r>
      <w:r w:rsidR="006847BA" w:rsidRPr="006847BA">
        <w:rPr>
          <w:rStyle w:val="hps"/>
          <w:lang/>
        </w:rPr>
        <w:t xml:space="preserve">to </w:t>
      </w:r>
      <w:r w:rsidR="006847BA" w:rsidRPr="006847BA">
        <w:rPr>
          <w:lang/>
        </w:rPr>
        <w:t xml:space="preserve">Roma children in order </w:t>
      </w:r>
      <w:r w:rsidR="006847BA" w:rsidRPr="006847BA">
        <w:rPr>
          <w:rStyle w:val="hps"/>
          <w:lang/>
        </w:rPr>
        <w:t>to</w:t>
      </w:r>
      <w:r w:rsidR="006847BA" w:rsidRPr="006847BA">
        <w:rPr>
          <w:lang/>
        </w:rPr>
        <w:t xml:space="preserve"> </w:t>
      </w:r>
      <w:r w:rsidR="006847BA" w:rsidRPr="006847BA">
        <w:rPr>
          <w:rStyle w:val="hps"/>
          <w:lang/>
        </w:rPr>
        <w:t>achieve regular</w:t>
      </w:r>
      <w:r w:rsidR="006847BA" w:rsidRPr="006847BA">
        <w:rPr>
          <w:lang/>
        </w:rPr>
        <w:t xml:space="preserve"> </w:t>
      </w:r>
      <w:r w:rsidR="006847BA" w:rsidRPr="006847BA">
        <w:rPr>
          <w:rStyle w:val="hps"/>
          <w:lang/>
        </w:rPr>
        <w:t xml:space="preserve">attendance and </w:t>
      </w:r>
      <w:r w:rsidR="00405628">
        <w:rPr>
          <w:rStyle w:val="hps"/>
          <w:lang/>
        </w:rPr>
        <w:t>to</w:t>
      </w:r>
      <w:r w:rsidR="006847BA" w:rsidRPr="006847BA">
        <w:rPr>
          <w:lang/>
        </w:rPr>
        <w:t xml:space="preserve"> </w:t>
      </w:r>
      <w:r w:rsidR="006847BA" w:rsidRPr="006847BA">
        <w:rPr>
          <w:rStyle w:val="hps"/>
          <w:lang/>
        </w:rPr>
        <w:t>reduce students’ dropping out of school.</w:t>
      </w:r>
      <w:r w:rsidR="006847BA" w:rsidRPr="006847BA">
        <w:rPr>
          <w:rStyle w:val="hps"/>
          <w:b/>
          <w:lang/>
        </w:rPr>
        <w:t xml:space="preserve"> </w:t>
      </w:r>
    </w:p>
    <w:p w:rsidR="006847BA" w:rsidRPr="006847BA" w:rsidRDefault="006847BA" w:rsidP="006847BA">
      <w:pPr>
        <w:jc w:val="both"/>
        <w:rPr>
          <w:lang w:val="en-US"/>
        </w:rPr>
      </w:pPr>
    </w:p>
    <w:p w:rsidR="006847BA" w:rsidRPr="006847BA" w:rsidRDefault="00EA19C8" w:rsidP="006847BA">
      <w:pPr>
        <w:jc w:val="both"/>
        <w:rPr>
          <w:lang w:val="en-US"/>
        </w:rPr>
      </w:pPr>
      <w:r>
        <w:rPr>
          <w:rStyle w:val="hps"/>
          <w:lang/>
        </w:rPr>
        <w:t>316.</w:t>
      </w:r>
      <w:r>
        <w:rPr>
          <w:rStyle w:val="hps"/>
          <w:lang/>
        </w:rPr>
        <w:tab/>
      </w:r>
      <w:r w:rsidR="006847BA" w:rsidRPr="006847BA">
        <w:rPr>
          <w:rStyle w:val="hps"/>
          <w:lang/>
        </w:rPr>
        <w:t>Throughout</w:t>
      </w:r>
      <w:r w:rsidR="006847BA" w:rsidRPr="006847BA">
        <w:rPr>
          <w:lang/>
        </w:rPr>
        <w:t xml:space="preserve"> </w:t>
      </w:r>
      <w:r w:rsidR="006847BA" w:rsidRPr="006847BA">
        <w:rPr>
          <w:rStyle w:val="hps"/>
          <w:lang/>
        </w:rPr>
        <w:t>the implementation of the project</w:t>
      </w:r>
      <w:r w:rsidR="00405628">
        <w:rPr>
          <w:rStyle w:val="hps"/>
          <w:lang/>
        </w:rPr>
        <w:t>,</w:t>
      </w:r>
      <w:r w:rsidR="006847BA" w:rsidRPr="006847BA">
        <w:rPr>
          <w:lang/>
        </w:rPr>
        <w:t xml:space="preserve"> special </w:t>
      </w:r>
      <w:r w:rsidR="006847BA" w:rsidRPr="006847BA">
        <w:rPr>
          <w:rStyle w:val="hps"/>
          <w:lang/>
        </w:rPr>
        <w:t>priority is to</w:t>
      </w:r>
      <w:r w:rsidR="006847BA" w:rsidRPr="006847BA">
        <w:rPr>
          <w:lang/>
        </w:rPr>
        <w:t xml:space="preserve"> </w:t>
      </w:r>
      <w:r w:rsidR="006847BA" w:rsidRPr="006847BA">
        <w:rPr>
          <w:rStyle w:val="hps"/>
          <w:lang/>
        </w:rPr>
        <w:t>be</w:t>
      </w:r>
      <w:r w:rsidR="006847BA" w:rsidRPr="006847BA">
        <w:rPr>
          <w:lang/>
        </w:rPr>
        <w:t xml:space="preserve"> given</w:t>
      </w:r>
      <w:r w:rsidR="006847BA" w:rsidRPr="006847BA">
        <w:rPr>
          <w:rStyle w:val="hps"/>
          <w:lang/>
        </w:rPr>
        <w:t xml:space="preserve"> to </w:t>
      </w:r>
      <w:r w:rsidR="006847BA" w:rsidRPr="006847BA">
        <w:rPr>
          <w:lang/>
        </w:rPr>
        <w:t xml:space="preserve">the </w:t>
      </w:r>
      <w:r w:rsidR="006847BA" w:rsidRPr="006847BA">
        <w:rPr>
          <w:rStyle w:val="hps"/>
          <w:lang/>
        </w:rPr>
        <w:t>role</w:t>
      </w:r>
      <w:r w:rsidR="006847BA" w:rsidRPr="006847BA">
        <w:rPr>
          <w:lang/>
        </w:rPr>
        <w:t xml:space="preserve"> </w:t>
      </w:r>
      <w:r w:rsidR="006847BA" w:rsidRPr="006847BA">
        <w:rPr>
          <w:rStyle w:val="hps"/>
          <w:lang/>
        </w:rPr>
        <w:t>and action of</w:t>
      </w:r>
      <w:r w:rsidR="006847BA" w:rsidRPr="006847BA">
        <w:rPr>
          <w:lang/>
        </w:rPr>
        <w:t xml:space="preserve"> </w:t>
      </w:r>
      <w:r w:rsidR="006847BA" w:rsidRPr="006847BA">
        <w:rPr>
          <w:rStyle w:val="hps"/>
          <w:lang/>
        </w:rPr>
        <w:t>Roma</w:t>
      </w:r>
      <w:r w:rsidR="006847BA" w:rsidRPr="006847BA">
        <w:rPr>
          <w:lang/>
        </w:rPr>
        <w:t xml:space="preserve"> </w:t>
      </w:r>
      <w:r w:rsidR="006847BA" w:rsidRPr="006847BA">
        <w:rPr>
          <w:rStyle w:val="hps"/>
          <w:lang/>
        </w:rPr>
        <w:t>school</w:t>
      </w:r>
      <w:r w:rsidR="006847BA" w:rsidRPr="006847BA">
        <w:rPr>
          <w:lang/>
        </w:rPr>
        <w:t xml:space="preserve"> </w:t>
      </w:r>
      <w:r w:rsidR="006847BA" w:rsidRPr="006847BA">
        <w:rPr>
          <w:rStyle w:val="hps"/>
          <w:lang/>
        </w:rPr>
        <w:t>mediators</w:t>
      </w:r>
      <w:r w:rsidR="006847BA" w:rsidRPr="006847BA">
        <w:rPr>
          <w:lang/>
        </w:rPr>
        <w:t>.</w:t>
      </w:r>
      <w:r w:rsidR="006847BA" w:rsidRPr="006847BA">
        <w:rPr>
          <w:rStyle w:val="BodyTextChar"/>
          <w:lang w:val="en-US"/>
        </w:rPr>
        <w:t xml:space="preserve"> </w:t>
      </w:r>
      <w:r w:rsidR="006847BA" w:rsidRPr="006847BA">
        <w:rPr>
          <w:rStyle w:val="hps"/>
          <w:lang w:val="en-US"/>
        </w:rPr>
        <w:t>T</w:t>
      </w:r>
      <w:r w:rsidR="006847BA" w:rsidRPr="006847BA">
        <w:rPr>
          <w:rStyle w:val="hps"/>
          <w:lang/>
        </w:rPr>
        <w:t>he Ministry of</w:t>
      </w:r>
      <w:r w:rsidR="006847BA" w:rsidRPr="006847BA">
        <w:rPr>
          <w:lang/>
        </w:rPr>
        <w:t xml:space="preserve"> </w:t>
      </w:r>
      <w:r w:rsidR="006847BA" w:rsidRPr="006847BA">
        <w:rPr>
          <w:rStyle w:val="hps"/>
          <w:lang/>
        </w:rPr>
        <w:t>Education</w:t>
      </w:r>
      <w:r w:rsidR="006847BA" w:rsidRPr="006847BA">
        <w:rPr>
          <w:lang/>
        </w:rPr>
        <w:t xml:space="preserve"> has </w:t>
      </w:r>
      <w:r w:rsidR="006847BA" w:rsidRPr="006847BA">
        <w:rPr>
          <w:rStyle w:val="hps"/>
          <w:lang/>
        </w:rPr>
        <w:t xml:space="preserve">set as a </w:t>
      </w:r>
      <w:r w:rsidR="006847BA" w:rsidRPr="006847BA">
        <w:rPr>
          <w:rStyle w:val="hps"/>
          <w:lang/>
        </w:rPr>
        <w:lastRenderedPageBreak/>
        <w:t>goal the training</w:t>
      </w:r>
      <w:r w:rsidR="006847BA" w:rsidRPr="006847BA">
        <w:rPr>
          <w:lang/>
        </w:rPr>
        <w:t xml:space="preserve"> </w:t>
      </w:r>
      <w:r w:rsidR="006847BA" w:rsidRPr="006847BA">
        <w:rPr>
          <w:rStyle w:val="hps"/>
          <w:lang/>
        </w:rPr>
        <w:t>of Roma</w:t>
      </w:r>
      <w:r w:rsidR="006847BA" w:rsidRPr="006847BA">
        <w:rPr>
          <w:lang/>
        </w:rPr>
        <w:t xml:space="preserve"> </w:t>
      </w:r>
      <w:r w:rsidR="006847BA" w:rsidRPr="006847BA">
        <w:rPr>
          <w:rStyle w:val="hps"/>
          <w:lang/>
        </w:rPr>
        <w:t>school</w:t>
      </w:r>
      <w:r w:rsidR="006847BA" w:rsidRPr="006847BA">
        <w:rPr>
          <w:lang/>
        </w:rPr>
        <w:t xml:space="preserve"> </w:t>
      </w:r>
      <w:r w:rsidR="006847BA" w:rsidRPr="006847BA">
        <w:rPr>
          <w:rStyle w:val="hps"/>
          <w:lang/>
        </w:rPr>
        <w:t>mediators</w:t>
      </w:r>
      <w:r w:rsidR="006847BA" w:rsidRPr="006847BA">
        <w:rPr>
          <w:lang/>
        </w:rPr>
        <w:t xml:space="preserve"> </w:t>
      </w:r>
      <w:r w:rsidR="006847BA" w:rsidRPr="006847BA">
        <w:rPr>
          <w:rStyle w:val="hps"/>
          <w:lang/>
        </w:rPr>
        <w:t>and</w:t>
      </w:r>
      <w:r w:rsidR="006847BA" w:rsidRPr="006847BA">
        <w:rPr>
          <w:lang/>
        </w:rPr>
        <w:t xml:space="preserve"> believes that </w:t>
      </w:r>
      <w:r w:rsidR="006847BA" w:rsidRPr="006847BA">
        <w:rPr>
          <w:rStyle w:val="hps"/>
          <w:lang/>
        </w:rPr>
        <w:t>there should be networking</w:t>
      </w:r>
      <w:r w:rsidR="006847BA" w:rsidRPr="006847BA">
        <w:rPr>
          <w:lang/>
        </w:rPr>
        <w:t xml:space="preserve"> </w:t>
      </w:r>
      <w:r w:rsidR="006847BA" w:rsidRPr="006847BA">
        <w:rPr>
          <w:rStyle w:val="hps"/>
          <w:lang/>
        </w:rPr>
        <w:t>between</w:t>
      </w:r>
      <w:r w:rsidR="006847BA" w:rsidRPr="006847BA">
        <w:rPr>
          <w:lang/>
        </w:rPr>
        <w:t xml:space="preserve"> </w:t>
      </w:r>
      <w:r w:rsidR="006847BA" w:rsidRPr="006847BA">
        <w:rPr>
          <w:rStyle w:val="hps"/>
          <w:lang/>
        </w:rPr>
        <w:t>them</w:t>
      </w:r>
      <w:r w:rsidR="006847BA" w:rsidRPr="006847BA">
        <w:rPr>
          <w:lang/>
        </w:rPr>
        <w:t xml:space="preserve"> </w:t>
      </w:r>
      <w:r w:rsidR="006847BA" w:rsidRPr="006847BA">
        <w:rPr>
          <w:rStyle w:val="hps"/>
          <w:lang/>
        </w:rPr>
        <w:t>and</w:t>
      </w:r>
      <w:r w:rsidR="006847BA" w:rsidRPr="006847BA">
        <w:rPr>
          <w:lang/>
        </w:rPr>
        <w:t xml:space="preserve"> </w:t>
      </w:r>
      <w:r w:rsidR="006847BA" w:rsidRPr="006847BA">
        <w:rPr>
          <w:rStyle w:val="hps"/>
          <w:lang/>
        </w:rPr>
        <w:t>Roma mediators</w:t>
      </w:r>
      <w:r w:rsidR="006847BA" w:rsidRPr="006847BA">
        <w:rPr>
          <w:lang/>
        </w:rPr>
        <w:t xml:space="preserve"> </w:t>
      </w:r>
      <w:r w:rsidR="006847BA" w:rsidRPr="006847BA">
        <w:rPr>
          <w:rStyle w:val="hps"/>
          <w:lang/>
        </w:rPr>
        <w:t>who</w:t>
      </w:r>
      <w:r w:rsidR="006847BA" w:rsidRPr="006847BA">
        <w:rPr>
          <w:lang/>
        </w:rPr>
        <w:t xml:space="preserve"> </w:t>
      </w:r>
      <w:r w:rsidR="006847BA" w:rsidRPr="006847BA">
        <w:rPr>
          <w:rStyle w:val="hps"/>
          <w:lang/>
        </w:rPr>
        <w:t>are active at a local level</w:t>
      </w:r>
      <w:r w:rsidR="006847BA" w:rsidRPr="006847BA">
        <w:rPr>
          <w:lang/>
        </w:rPr>
        <w:t xml:space="preserve"> </w:t>
      </w:r>
      <w:r w:rsidR="006847BA" w:rsidRPr="006847BA">
        <w:rPr>
          <w:rStyle w:val="hps"/>
          <w:lang/>
        </w:rPr>
        <w:t>in the</w:t>
      </w:r>
      <w:r w:rsidR="006847BA" w:rsidRPr="006847BA">
        <w:rPr>
          <w:lang/>
        </w:rPr>
        <w:t xml:space="preserve"> </w:t>
      </w:r>
      <w:r w:rsidR="006847BA" w:rsidRPr="006847BA">
        <w:rPr>
          <w:rStyle w:val="hps"/>
          <w:lang/>
        </w:rPr>
        <w:t>areas</w:t>
      </w:r>
      <w:r w:rsidR="006847BA" w:rsidRPr="006847BA">
        <w:rPr>
          <w:lang/>
        </w:rPr>
        <w:t xml:space="preserve"> </w:t>
      </w:r>
      <w:r w:rsidR="006847BA" w:rsidRPr="006847BA">
        <w:rPr>
          <w:rStyle w:val="hps"/>
          <w:lang/>
        </w:rPr>
        <w:t>of</w:t>
      </w:r>
      <w:r w:rsidR="006847BA" w:rsidRPr="006847BA">
        <w:rPr>
          <w:lang/>
        </w:rPr>
        <w:t xml:space="preserve"> </w:t>
      </w:r>
      <w:r w:rsidR="006847BA" w:rsidRPr="006847BA">
        <w:rPr>
          <w:rStyle w:val="hps"/>
          <w:lang/>
        </w:rPr>
        <w:t>health issues</w:t>
      </w:r>
      <w:r w:rsidR="006847BA" w:rsidRPr="006847BA">
        <w:rPr>
          <w:lang/>
        </w:rPr>
        <w:t xml:space="preserve"> </w:t>
      </w:r>
      <w:r w:rsidR="006847BA" w:rsidRPr="006847BA">
        <w:rPr>
          <w:rStyle w:val="hps"/>
          <w:lang/>
        </w:rPr>
        <w:t>and employment</w:t>
      </w:r>
      <w:r w:rsidR="006847BA" w:rsidRPr="006847BA">
        <w:rPr>
          <w:lang/>
        </w:rPr>
        <w:t xml:space="preserve">. </w:t>
      </w:r>
      <w:r w:rsidR="006847BA" w:rsidRPr="006847BA">
        <w:rPr>
          <w:lang w:val="en-US"/>
        </w:rPr>
        <w:t>The aim is to effect a comprehensive and all-encompassing approach towards the problems affecting the population while securing the viability of spatially targeted interventions through the interconnection of mediators per region and the local services and agencies that are active to this end.</w:t>
      </w:r>
    </w:p>
    <w:p w:rsidR="006847BA" w:rsidRPr="006847BA" w:rsidRDefault="006847BA" w:rsidP="006847BA">
      <w:pPr>
        <w:jc w:val="both"/>
        <w:rPr>
          <w:lang w:val="en-US"/>
        </w:rPr>
      </w:pPr>
    </w:p>
    <w:p w:rsidR="006847BA" w:rsidRPr="006847BA" w:rsidRDefault="00EA19C8" w:rsidP="006847BA">
      <w:pPr>
        <w:jc w:val="both"/>
        <w:rPr>
          <w:lang w:val="en-US"/>
        </w:rPr>
      </w:pPr>
      <w:r>
        <w:rPr>
          <w:lang w:val="en-US"/>
        </w:rPr>
        <w:t>317.</w:t>
      </w:r>
      <w:r>
        <w:rPr>
          <w:lang w:val="en-US"/>
        </w:rPr>
        <w:tab/>
      </w:r>
      <w:r w:rsidR="006847BA" w:rsidRPr="006847BA">
        <w:rPr>
          <w:lang w:val="en-US"/>
        </w:rPr>
        <w:t xml:space="preserve">What is more, since 2008, at the beginning of every school year, the Greek Ministry of Education issues a Circular according to which all Heads of School Units are reminded of their obligation to enroll Roma pupils in Primary Schools and cooperate with the Regional Directors of Primary and Secondary Education as well as with School Advisors in order to overcome any problems that may arise during enrolment. </w:t>
      </w:r>
    </w:p>
    <w:p w:rsidR="006847BA" w:rsidRPr="006847BA" w:rsidRDefault="006847BA" w:rsidP="006847BA">
      <w:pPr>
        <w:jc w:val="both"/>
        <w:rPr>
          <w:lang w:val="en-US"/>
        </w:rPr>
      </w:pPr>
    </w:p>
    <w:p w:rsidR="006847BA" w:rsidRPr="006847BA" w:rsidRDefault="00EA19C8" w:rsidP="006847BA">
      <w:pPr>
        <w:pStyle w:val="Default"/>
        <w:jc w:val="both"/>
        <w:rPr>
          <w:rFonts w:ascii="Times New Roman" w:hAnsi="Times New Roman"/>
          <w:color w:val="auto"/>
          <w:lang w:val="en-US"/>
        </w:rPr>
      </w:pPr>
      <w:r>
        <w:rPr>
          <w:rFonts w:ascii="Times New Roman" w:hAnsi="Times New Roman"/>
          <w:color w:val="auto"/>
          <w:lang w:val="en-US"/>
        </w:rPr>
        <w:t>318.</w:t>
      </w:r>
      <w:r>
        <w:rPr>
          <w:rFonts w:ascii="Times New Roman" w:hAnsi="Times New Roman"/>
          <w:color w:val="auto"/>
          <w:lang w:val="en-US"/>
        </w:rPr>
        <w:tab/>
      </w:r>
      <w:r w:rsidR="006847BA" w:rsidRPr="006847BA">
        <w:rPr>
          <w:rFonts w:ascii="Times New Roman" w:hAnsi="Times New Roman"/>
          <w:color w:val="auto"/>
          <w:lang w:val="en-US"/>
        </w:rPr>
        <w:t xml:space="preserve">In addition, Roma families with low income can benefit from an annual allowance for every child enrolled in public school of compulsory education which can be granted to them only at the end of each school year, upon submission of a certificate of regular school attendance.  </w:t>
      </w:r>
    </w:p>
    <w:p w:rsidR="006847BA" w:rsidRPr="006847BA" w:rsidRDefault="006847BA" w:rsidP="006847BA">
      <w:pPr>
        <w:jc w:val="both"/>
        <w:rPr>
          <w:lang w:val="en-US"/>
        </w:rPr>
      </w:pPr>
    </w:p>
    <w:p w:rsidR="006847BA" w:rsidRPr="006847BA" w:rsidRDefault="006847BA" w:rsidP="006847BA">
      <w:pPr>
        <w:pStyle w:val="a2"/>
        <w:spacing w:after="0" w:line="240" w:lineRule="auto"/>
        <w:ind w:left="0"/>
        <w:jc w:val="both"/>
        <w:rPr>
          <w:rFonts w:ascii="Times New Roman" w:hAnsi="Times New Roman"/>
          <w:b/>
          <w:sz w:val="24"/>
          <w:szCs w:val="24"/>
          <w:lang w:val="en-US"/>
        </w:rPr>
      </w:pPr>
      <w:r w:rsidRPr="006847BA">
        <w:rPr>
          <w:rFonts w:ascii="Times New Roman" w:hAnsi="Times New Roman"/>
          <w:b/>
          <w:sz w:val="24"/>
          <w:szCs w:val="24"/>
          <w:lang w:val="en-US"/>
        </w:rPr>
        <w:t>Educational Priority Zones (ZEP)</w:t>
      </w:r>
    </w:p>
    <w:p w:rsidR="006847BA" w:rsidRPr="006847BA" w:rsidRDefault="006847BA" w:rsidP="006847BA">
      <w:pPr>
        <w:pStyle w:val="a2"/>
        <w:spacing w:after="0" w:line="240" w:lineRule="auto"/>
        <w:ind w:left="0"/>
        <w:jc w:val="both"/>
        <w:rPr>
          <w:rFonts w:ascii="Times New Roman" w:hAnsi="Times New Roman"/>
          <w:b/>
          <w:sz w:val="24"/>
          <w:szCs w:val="24"/>
          <w:lang w:val="en-US"/>
        </w:rPr>
      </w:pPr>
    </w:p>
    <w:p w:rsidR="006847BA" w:rsidRPr="006847BA" w:rsidRDefault="00EA19C8" w:rsidP="006847BA">
      <w:pPr>
        <w:pStyle w:val="a2"/>
        <w:spacing w:after="0" w:line="240" w:lineRule="auto"/>
        <w:ind w:left="0"/>
        <w:jc w:val="both"/>
        <w:rPr>
          <w:rFonts w:ascii="Times New Roman" w:hAnsi="Times New Roman"/>
          <w:sz w:val="24"/>
          <w:szCs w:val="24"/>
          <w:lang w:val="en-US"/>
        </w:rPr>
      </w:pPr>
      <w:r>
        <w:rPr>
          <w:rFonts w:ascii="Times New Roman" w:hAnsi="Times New Roman"/>
          <w:sz w:val="24"/>
          <w:szCs w:val="24"/>
          <w:lang w:val="en-US"/>
        </w:rPr>
        <w:t>319.</w:t>
      </w:r>
      <w:r>
        <w:rPr>
          <w:rFonts w:ascii="Times New Roman" w:hAnsi="Times New Roman"/>
          <w:sz w:val="24"/>
          <w:szCs w:val="24"/>
          <w:lang w:val="en-US"/>
        </w:rPr>
        <w:tab/>
      </w:r>
      <w:r w:rsidR="006847BA" w:rsidRPr="006847BA">
        <w:rPr>
          <w:rFonts w:ascii="Times New Roman" w:hAnsi="Times New Roman"/>
          <w:sz w:val="24"/>
          <w:szCs w:val="24"/>
          <w:lang w:val="en-US"/>
        </w:rPr>
        <w:t xml:space="preserve">In 2010, the Ministry of Education introduced a new measure, the Educational Priority Zones (ZEP), which is expected to contribute positively to combating segregation and its consequent effects in certain schools. </w:t>
      </w:r>
      <w:r w:rsidR="006847BA" w:rsidRPr="006847BA">
        <w:rPr>
          <w:rFonts w:ascii="Times New Roman" w:hAnsi="Times New Roman"/>
          <w:iCs/>
          <w:sz w:val="24"/>
          <w:szCs w:val="24"/>
          <w:lang w:val="en-US"/>
        </w:rPr>
        <w:t xml:space="preserve">The general aim behind the implementation of ZEP is to shape, and to test under real classroom conditions, alternative and flexible educational approaches of differentiated teaching so as to ensure the equitable educational integration of students from areas with low education and socioeconomic indicators, and possibly remove </w:t>
      </w:r>
      <w:r w:rsidR="006847BA" w:rsidRPr="006847BA">
        <w:rPr>
          <w:rFonts w:ascii="Times New Roman" w:hAnsi="Times New Roman"/>
          <w:sz w:val="24"/>
          <w:szCs w:val="24"/>
          <w:lang w:val="en-US"/>
        </w:rPr>
        <w:t>the social and economic barriers to students’ progress.</w:t>
      </w:r>
    </w:p>
    <w:p w:rsidR="006847BA" w:rsidRPr="006847BA" w:rsidRDefault="006847BA" w:rsidP="006847BA">
      <w:pPr>
        <w:jc w:val="both"/>
        <w:rPr>
          <w:lang w:val="en-US"/>
        </w:rPr>
      </w:pPr>
    </w:p>
    <w:p w:rsidR="006847BA" w:rsidRPr="006847BA" w:rsidRDefault="00EA19C8" w:rsidP="006847BA">
      <w:pPr>
        <w:jc w:val="both"/>
        <w:rPr>
          <w:lang w:val="en-US"/>
        </w:rPr>
      </w:pPr>
      <w:r>
        <w:rPr>
          <w:lang w:val="en-US"/>
        </w:rPr>
        <w:t>320.</w:t>
      </w:r>
      <w:r>
        <w:rPr>
          <w:lang w:val="en-US"/>
        </w:rPr>
        <w:tab/>
      </w:r>
      <w:r w:rsidR="006847BA" w:rsidRPr="006847BA">
        <w:rPr>
          <w:lang w:val="en-US"/>
        </w:rPr>
        <w:t>The Educational Priority Zones action is implemented in geographical regions where the basic school integration indicators are low. The said Zones enhance a holistic approach regarding the education process which transcends the typical teaching and learning in-school processes and aims to connect school units with local social agents through the implementation of educational, social and cultural actions. One of the actions through which the educational support offered to students will be implemented is that of support from specialized staff (psychologists, social workers) to monitor special cases and resolve potential problematic situations.</w:t>
      </w:r>
    </w:p>
    <w:p w:rsidR="006847BA" w:rsidRPr="006847BA" w:rsidRDefault="006847BA" w:rsidP="006847BA">
      <w:pPr>
        <w:jc w:val="both"/>
        <w:rPr>
          <w:lang w:val="en-US"/>
        </w:rPr>
      </w:pPr>
    </w:p>
    <w:p w:rsidR="006847BA" w:rsidRPr="006847BA" w:rsidRDefault="00EA19C8" w:rsidP="006847BA">
      <w:pPr>
        <w:jc w:val="both"/>
        <w:rPr>
          <w:lang w:val="en-US"/>
        </w:rPr>
      </w:pPr>
      <w:r>
        <w:rPr>
          <w:lang w:val="en-US"/>
        </w:rPr>
        <w:t>321.</w:t>
      </w:r>
      <w:r>
        <w:rPr>
          <w:lang w:val="en-US"/>
        </w:rPr>
        <w:tab/>
      </w:r>
      <w:r w:rsidR="006847BA" w:rsidRPr="006847BA">
        <w:rPr>
          <w:lang w:val="en-US"/>
        </w:rPr>
        <w:t>In the current academic year, 377 ZEP Reception Classes operate in primary state schools throughout Greece whereas in secondary education 76 ZEP Reception Classes run in state schools.</w:t>
      </w:r>
    </w:p>
    <w:p w:rsidR="006847BA" w:rsidRPr="006847BA" w:rsidRDefault="006847BA" w:rsidP="006847BA">
      <w:pPr>
        <w:jc w:val="both"/>
        <w:rPr>
          <w:lang w:val="en-US"/>
        </w:rPr>
      </w:pPr>
    </w:p>
    <w:p w:rsidR="006847BA" w:rsidRPr="006847BA" w:rsidRDefault="006847BA" w:rsidP="006847BA">
      <w:pPr>
        <w:jc w:val="both"/>
        <w:rPr>
          <w:b/>
          <w:lang w:val="en-US"/>
        </w:rPr>
      </w:pPr>
      <w:r w:rsidRPr="006847BA">
        <w:rPr>
          <w:b/>
          <w:lang w:val="en-US"/>
        </w:rPr>
        <w:t>Special Education</w:t>
      </w:r>
    </w:p>
    <w:p w:rsidR="006847BA" w:rsidRPr="006847BA" w:rsidRDefault="006847BA" w:rsidP="006847BA">
      <w:pPr>
        <w:autoSpaceDE w:val="0"/>
        <w:autoSpaceDN w:val="0"/>
        <w:adjustRightInd w:val="0"/>
        <w:jc w:val="both"/>
        <w:rPr>
          <w:rFonts w:cs="MyriadPro-Regular"/>
          <w:lang/>
        </w:rPr>
      </w:pPr>
    </w:p>
    <w:p w:rsidR="006847BA" w:rsidRPr="006847BA" w:rsidRDefault="00EA19C8" w:rsidP="006847BA">
      <w:pPr>
        <w:autoSpaceDE w:val="0"/>
        <w:autoSpaceDN w:val="0"/>
        <w:adjustRightInd w:val="0"/>
        <w:jc w:val="both"/>
        <w:rPr>
          <w:rFonts w:cs="MyriadPro-Regular"/>
          <w:lang w:val="en-US"/>
        </w:rPr>
      </w:pPr>
      <w:r>
        <w:rPr>
          <w:rFonts w:cs="MyriadPro-Regular"/>
          <w:lang/>
        </w:rPr>
        <w:t>322.</w:t>
      </w:r>
      <w:r>
        <w:rPr>
          <w:rFonts w:cs="MyriadPro-Regular"/>
          <w:lang/>
        </w:rPr>
        <w:tab/>
      </w:r>
      <w:r w:rsidR="006847BA" w:rsidRPr="006847BA">
        <w:rPr>
          <w:rFonts w:cs="MyriadPro-Regular"/>
          <w:lang/>
        </w:rPr>
        <w:t>I</w:t>
      </w:r>
      <w:r w:rsidR="006847BA" w:rsidRPr="006847BA">
        <w:rPr>
          <w:rFonts w:cs="MyriadPro-Regular"/>
          <w:lang w:val="en-US"/>
        </w:rPr>
        <w:t xml:space="preserve">n 2008 Law 3699 on "Special Education of Persons with Disabilities or Special Educational Needs" was enacted. The said law updated, codified and supplemented prior legislation. It was the first time that the compulsory nature of Special Education was enshrined in law. Law 3299 stipulated that Special Education is an integral part of compulsory and free public education and specified the minimum </w:t>
      </w:r>
      <w:r w:rsidR="006847BA" w:rsidRPr="006847BA">
        <w:rPr>
          <w:rFonts w:cs="MyriadPro-Regular"/>
          <w:lang w:val="en-US"/>
        </w:rPr>
        <w:lastRenderedPageBreak/>
        <w:t xml:space="preserve">duration thereof, promoting meaningful and functional support for inclusive education. Measures for ‘early intervention’ have been introduced for children of pre-school age. The right of academically gifted and talented pupils for special education services was recognized for the first time. </w:t>
      </w:r>
    </w:p>
    <w:p w:rsidR="006847BA" w:rsidRPr="006847BA" w:rsidRDefault="006847BA" w:rsidP="006847BA">
      <w:pPr>
        <w:autoSpaceDE w:val="0"/>
        <w:autoSpaceDN w:val="0"/>
        <w:adjustRightInd w:val="0"/>
        <w:jc w:val="both"/>
        <w:rPr>
          <w:rFonts w:cs="MyriadPro-Regular"/>
          <w:lang w:val="en-US"/>
        </w:rPr>
      </w:pPr>
    </w:p>
    <w:p w:rsidR="006847BA" w:rsidRPr="006847BA" w:rsidRDefault="00EA19C8" w:rsidP="006847BA">
      <w:pPr>
        <w:autoSpaceDE w:val="0"/>
        <w:autoSpaceDN w:val="0"/>
        <w:adjustRightInd w:val="0"/>
        <w:jc w:val="both"/>
        <w:rPr>
          <w:lang w:val="en-US"/>
        </w:rPr>
      </w:pPr>
      <w:r>
        <w:rPr>
          <w:rFonts w:cs="MyriadPro-Regular"/>
          <w:lang w:val="en-US"/>
        </w:rPr>
        <w:t>323.</w:t>
      </w:r>
      <w:r>
        <w:rPr>
          <w:rFonts w:cs="MyriadPro-Regular"/>
          <w:lang w:val="en-US"/>
        </w:rPr>
        <w:tab/>
      </w:r>
      <w:r w:rsidR="006847BA" w:rsidRPr="006847BA">
        <w:rPr>
          <w:rFonts w:cs="MyriadPro-Regular"/>
          <w:lang w:val="en-US"/>
        </w:rPr>
        <w:t>Furthermore, the said law established differential diagnosis and laid down the respective procedures and bodies for the diagnosis of special educational needs, – mainly the Differential Diagnosis, Diagnosis and Special Education Requirements Support Centres (KEDDY) - and outlined their recruiting, operation and responsibilities.</w:t>
      </w:r>
    </w:p>
    <w:p w:rsidR="006847BA" w:rsidRPr="006847BA" w:rsidRDefault="006847BA" w:rsidP="006847BA">
      <w:pPr>
        <w:jc w:val="both"/>
        <w:rPr>
          <w:b/>
          <w:lang w:val="en-US"/>
        </w:rPr>
      </w:pPr>
    </w:p>
    <w:p w:rsidR="006847BA" w:rsidRPr="006847BA" w:rsidRDefault="006847BA" w:rsidP="006847BA">
      <w:pPr>
        <w:jc w:val="both"/>
        <w:rPr>
          <w:b/>
          <w:lang w:val="en-US"/>
        </w:rPr>
      </w:pPr>
      <w:r w:rsidRPr="006847BA">
        <w:rPr>
          <w:b/>
          <w:lang w:val="en-US"/>
        </w:rPr>
        <w:t>Network against</w:t>
      </w:r>
      <w:r w:rsidRPr="006847BA">
        <w:rPr>
          <w:lang w:val="en-US"/>
        </w:rPr>
        <w:t xml:space="preserve"> </w:t>
      </w:r>
      <w:r w:rsidRPr="006847BA">
        <w:rPr>
          <w:b/>
          <w:lang w:val="en-US"/>
        </w:rPr>
        <w:t>Violence in Schools</w:t>
      </w:r>
    </w:p>
    <w:p w:rsidR="006847BA" w:rsidRPr="006847BA" w:rsidRDefault="006847BA" w:rsidP="006847BA">
      <w:pPr>
        <w:jc w:val="both"/>
        <w:rPr>
          <w:b/>
          <w:lang w:val="en-US"/>
        </w:rPr>
      </w:pPr>
    </w:p>
    <w:p w:rsidR="006847BA" w:rsidRPr="006847BA" w:rsidRDefault="00EA19C8" w:rsidP="00405628">
      <w:pPr>
        <w:jc w:val="both"/>
        <w:rPr>
          <w:rFonts w:cs="Arial"/>
          <w:lang w:val="en-US"/>
        </w:rPr>
      </w:pPr>
      <w:r>
        <w:rPr>
          <w:lang w:val="en-US"/>
        </w:rPr>
        <w:t>324.</w:t>
      </w:r>
      <w:r>
        <w:rPr>
          <w:lang w:val="en-US"/>
        </w:rPr>
        <w:tab/>
      </w:r>
      <w:r w:rsidR="006847BA" w:rsidRPr="006847BA">
        <w:rPr>
          <w:lang w:val="en-US"/>
        </w:rPr>
        <w:t>The Greek Ministry of Education is one of the founding members of the Network against Violence in Schools which was set up in 2010 under the initiative of the Association for the Psychosocial Health of Children and Adolescents (A.P.H.C.A.) in Greece.</w:t>
      </w:r>
      <w:r w:rsidR="006847BA" w:rsidRPr="006847BA">
        <w:rPr>
          <w:rStyle w:val="hps"/>
          <w:rFonts w:cs="Arial"/>
          <w:lang/>
        </w:rPr>
        <w:t xml:space="preserve"> The</w:t>
      </w:r>
      <w:r w:rsidR="006847BA" w:rsidRPr="006847BA">
        <w:rPr>
          <w:rFonts w:cs="Arial"/>
          <w:lang/>
        </w:rPr>
        <w:t xml:space="preserve"> </w:t>
      </w:r>
      <w:r w:rsidR="006847BA" w:rsidRPr="006847BA">
        <w:rPr>
          <w:rStyle w:val="hps"/>
          <w:rFonts w:cs="Arial"/>
          <w:lang/>
        </w:rPr>
        <w:t>creation of the network</w:t>
      </w:r>
      <w:r w:rsidR="006847BA" w:rsidRPr="006847BA">
        <w:rPr>
          <w:rFonts w:cs="Arial"/>
          <w:lang/>
        </w:rPr>
        <w:t xml:space="preserve"> </w:t>
      </w:r>
      <w:r w:rsidR="006847BA" w:rsidRPr="006847BA">
        <w:rPr>
          <w:rStyle w:val="hps"/>
          <w:rFonts w:cs="Arial"/>
          <w:lang w:val="en-US"/>
        </w:rPr>
        <w:t xml:space="preserve">was deemed </w:t>
      </w:r>
      <w:r w:rsidR="006847BA" w:rsidRPr="006847BA">
        <w:rPr>
          <w:rStyle w:val="hps"/>
          <w:rFonts w:cs="Arial"/>
          <w:lang/>
        </w:rPr>
        <w:t>necessary since</w:t>
      </w:r>
      <w:r w:rsidR="006847BA" w:rsidRPr="006847BA">
        <w:rPr>
          <w:rFonts w:cs="Arial"/>
          <w:lang/>
        </w:rPr>
        <w:t xml:space="preserve"> </w:t>
      </w:r>
      <w:r w:rsidR="006847BA" w:rsidRPr="006847BA">
        <w:rPr>
          <w:rStyle w:val="hps"/>
          <w:rFonts w:cs="Arial"/>
          <w:lang/>
        </w:rPr>
        <w:t>there is a need</w:t>
      </w:r>
      <w:r w:rsidR="006847BA" w:rsidRPr="006847BA">
        <w:rPr>
          <w:rFonts w:cs="Arial"/>
          <w:lang/>
        </w:rPr>
        <w:t xml:space="preserve"> </w:t>
      </w:r>
      <w:r w:rsidR="006847BA" w:rsidRPr="006847BA">
        <w:rPr>
          <w:rStyle w:val="hps"/>
          <w:rFonts w:cs="Arial"/>
          <w:lang/>
        </w:rPr>
        <w:t>for prevention</w:t>
      </w:r>
      <w:r w:rsidR="006847BA" w:rsidRPr="006847BA">
        <w:rPr>
          <w:rFonts w:cs="Arial"/>
          <w:lang/>
        </w:rPr>
        <w:t xml:space="preserve"> </w:t>
      </w:r>
      <w:r w:rsidR="006847BA" w:rsidRPr="006847BA">
        <w:rPr>
          <w:rStyle w:val="hps"/>
          <w:rFonts w:cs="Arial"/>
          <w:lang/>
        </w:rPr>
        <w:t>and early intervention</w:t>
      </w:r>
      <w:r w:rsidR="006847BA" w:rsidRPr="006847BA">
        <w:rPr>
          <w:rFonts w:cs="Arial"/>
          <w:lang/>
        </w:rPr>
        <w:t xml:space="preserve"> </w:t>
      </w:r>
      <w:r w:rsidR="006847BA" w:rsidRPr="006847BA">
        <w:rPr>
          <w:rStyle w:val="hps"/>
          <w:rFonts w:cs="Arial"/>
          <w:lang/>
        </w:rPr>
        <w:t>on</w:t>
      </w:r>
      <w:r w:rsidR="006847BA" w:rsidRPr="006847BA">
        <w:rPr>
          <w:rFonts w:cs="Arial"/>
          <w:lang/>
        </w:rPr>
        <w:t xml:space="preserve"> </w:t>
      </w:r>
      <w:r w:rsidR="006847BA" w:rsidRPr="006847BA">
        <w:rPr>
          <w:rStyle w:val="hps"/>
          <w:rFonts w:cs="Arial"/>
          <w:lang/>
        </w:rPr>
        <w:t>bullying</w:t>
      </w:r>
      <w:r w:rsidR="006847BA" w:rsidRPr="006847BA">
        <w:rPr>
          <w:rFonts w:cs="Arial"/>
          <w:lang/>
        </w:rPr>
        <w:t xml:space="preserve"> </w:t>
      </w:r>
      <w:r w:rsidR="006847BA" w:rsidRPr="006847BA">
        <w:rPr>
          <w:rStyle w:val="hps"/>
          <w:rFonts w:cs="Arial"/>
          <w:lang/>
        </w:rPr>
        <w:t>at</w:t>
      </w:r>
      <w:r w:rsidR="006847BA" w:rsidRPr="006847BA">
        <w:rPr>
          <w:rFonts w:cs="Arial"/>
          <w:lang/>
        </w:rPr>
        <w:t xml:space="preserve"> </w:t>
      </w:r>
      <w:r w:rsidR="006847BA" w:rsidRPr="006847BA">
        <w:rPr>
          <w:rStyle w:val="hps"/>
          <w:rFonts w:cs="Arial"/>
          <w:lang/>
        </w:rPr>
        <w:t xml:space="preserve">schools. Some of the actions in this direction include: </w:t>
      </w:r>
      <w:r w:rsidR="006847BA" w:rsidRPr="006847BA">
        <w:rPr>
          <w:rStyle w:val="hps"/>
          <w:lang/>
        </w:rPr>
        <w:t>the operation of</w:t>
      </w:r>
      <w:r w:rsidR="006847BA" w:rsidRPr="006847BA">
        <w:rPr>
          <w:lang/>
        </w:rPr>
        <w:t xml:space="preserve"> </w:t>
      </w:r>
      <w:r w:rsidR="006847BA" w:rsidRPr="006847BA">
        <w:rPr>
          <w:rStyle w:val="hps"/>
          <w:lang/>
        </w:rPr>
        <w:t>telephone</w:t>
      </w:r>
      <w:r w:rsidR="006847BA" w:rsidRPr="006847BA">
        <w:rPr>
          <w:lang/>
        </w:rPr>
        <w:t xml:space="preserve"> </w:t>
      </w:r>
      <w:r w:rsidR="006847BA" w:rsidRPr="006847BA">
        <w:rPr>
          <w:rStyle w:val="hps"/>
          <w:lang/>
        </w:rPr>
        <w:t>counselling</w:t>
      </w:r>
      <w:r w:rsidR="006847BA" w:rsidRPr="006847BA">
        <w:rPr>
          <w:lang/>
        </w:rPr>
        <w:t xml:space="preserve"> </w:t>
      </w:r>
      <w:r w:rsidR="006847BA" w:rsidRPr="006847BA">
        <w:rPr>
          <w:rStyle w:val="hps"/>
          <w:lang/>
        </w:rPr>
        <w:t>line</w:t>
      </w:r>
      <w:r w:rsidR="006847BA" w:rsidRPr="006847BA">
        <w:rPr>
          <w:lang/>
        </w:rPr>
        <w:t xml:space="preserve"> for </w:t>
      </w:r>
      <w:r w:rsidR="006847BA" w:rsidRPr="006847BA">
        <w:rPr>
          <w:rStyle w:val="hps"/>
          <w:lang/>
        </w:rPr>
        <w:t>teachers and</w:t>
      </w:r>
      <w:r w:rsidR="006847BA" w:rsidRPr="006847BA">
        <w:rPr>
          <w:lang/>
        </w:rPr>
        <w:t xml:space="preserve"> </w:t>
      </w:r>
      <w:r w:rsidR="006847BA" w:rsidRPr="006847BA">
        <w:rPr>
          <w:rStyle w:val="hps"/>
          <w:lang/>
        </w:rPr>
        <w:t>parents’ support,</w:t>
      </w:r>
      <w:r w:rsidR="00405628">
        <w:rPr>
          <w:rStyle w:val="hps"/>
          <w:lang/>
        </w:rPr>
        <w:t xml:space="preserve"> </w:t>
      </w:r>
      <w:r w:rsidR="006847BA" w:rsidRPr="006847BA">
        <w:rPr>
          <w:rStyle w:val="hps"/>
          <w:lang w:val="en-US"/>
        </w:rPr>
        <w:t>t</w:t>
      </w:r>
      <w:r w:rsidR="006847BA" w:rsidRPr="006847BA">
        <w:rPr>
          <w:rStyle w:val="hps"/>
          <w:lang/>
        </w:rPr>
        <w:t>he operation of a</w:t>
      </w:r>
      <w:r w:rsidR="006847BA" w:rsidRPr="006847BA">
        <w:rPr>
          <w:lang/>
        </w:rPr>
        <w:t xml:space="preserve"> </w:t>
      </w:r>
      <w:r w:rsidR="006847BA" w:rsidRPr="006847BA">
        <w:rPr>
          <w:rStyle w:val="hps"/>
          <w:lang/>
        </w:rPr>
        <w:t>mobile</w:t>
      </w:r>
      <w:r w:rsidR="006847BA" w:rsidRPr="006847BA">
        <w:rPr>
          <w:lang/>
        </w:rPr>
        <w:t xml:space="preserve"> </w:t>
      </w:r>
      <w:r w:rsidR="006847BA" w:rsidRPr="006847BA">
        <w:rPr>
          <w:rStyle w:val="hps"/>
          <w:lang/>
        </w:rPr>
        <w:t>intervention</w:t>
      </w:r>
      <w:r w:rsidR="006847BA" w:rsidRPr="006847BA">
        <w:rPr>
          <w:lang/>
        </w:rPr>
        <w:t xml:space="preserve"> </w:t>
      </w:r>
      <w:r w:rsidR="006847BA" w:rsidRPr="006847BA">
        <w:rPr>
          <w:rStyle w:val="hps"/>
          <w:lang/>
        </w:rPr>
        <w:t>unit</w:t>
      </w:r>
      <w:r w:rsidR="006847BA" w:rsidRPr="006847BA">
        <w:rPr>
          <w:lang/>
        </w:rPr>
        <w:t xml:space="preserve"> </w:t>
      </w:r>
      <w:r w:rsidR="006847BA" w:rsidRPr="006847BA">
        <w:rPr>
          <w:rStyle w:val="hps"/>
          <w:lang/>
        </w:rPr>
        <w:t>in</w:t>
      </w:r>
      <w:r w:rsidR="006847BA" w:rsidRPr="006847BA">
        <w:rPr>
          <w:lang/>
        </w:rPr>
        <w:t xml:space="preserve"> </w:t>
      </w:r>
      <w:r w:rsidR="006847BA" w:rsidRPr="006847BA">
        <w:rPr>
          <w:rStyle w:val="hps"/>
          <w:lang/>
        </w:rPr>
        <w:t>cases of violence</w:t>
      </w:r>
      <w:r w:rsidR="006847BA" w:rsidRPr="006847BA">
        <w:rPr>
          <w:lang/>
        </w:rPr>
        <w:t xml:space="preserve"> </w:t>
      </w:r>
      <w:r w:rsidR="006847BA" w:rsidRPr="006847BA">
        <w:rPr>
          <w:rStyle w:val="hps"/>
          <w:lang/>
        </w:rPr>
        <w:t>and intimidation,</w:t>
      </w:r>
      <w:r w:rsidR="00405628">
        <w:rPr>
          <w:rStyle w:val="hps"/>
          <w:rFonts w:cs="Arial"/>
          <w:lang w:val="en-US"/>
        </w:rPr>
        <w:t xml:space="preserve"> and </w:t>
      </w:r>
      <w:r w:rsidR="006847BA" w:rsidRPr="006847BA">
        <w:rPr>
          <w:rStyle w:val="hps"/>
          <w:lang/>
        </w:rPr>
        <w:t>the online</w:t>
      </w:r>
      <w:r w:rsidR="006847BA" w:rsidRPr="006847BA">
        <w:rPr>
          <w:lang/>
        </w:rPr>
        <w:t xml:space="preserve"> </w:t>
      </w:r>
      <w:r w:rsidR="006847BA" w:rsidRPr="006847BA">
        <w:rPr>
          <w:rStyle w:val="hps"/>
          <w:lang/>
        </w:rPr>
        <w:t>counselling</w:t>
      </w:r>
      <w:r w:rsidR="006847BA" w:rsidRPr="006847BA">
        <w:rPr>
          <w:lang/>
        </w:rPr>
        <w:t xml:space="preserve"> </w:t>
      </w:r>
      <w:r w:rsidR="006847BA" w:rsidRPr="006847BA">
        <w:rPr>
          <w:rStyle w:val="hps"/>
          <w:lang/>
        </w:rPr>
        <w:t>support service for</w:t>
      </w:r>
      <w:r w:rsidR="006847BA" w:rsidRPr="006847BA">
        <w:rPr>
          <w:lang/>
        </w:rPr>
        <w:t xml:space="preserve"> </w:t>
      </w:r>
      <w:r w:rsidR="006847BA" w:rsidRPr="006847BA">
        <w:rPr>
          <w:rStyle w:val="hps"/>
          <w:lang/>
        </w:rPr>
        <w:t>teachers</w:t>
      </w:r>
      <w:r w:rsidR="006847BA" w:rsidRPr="006847BA">
        <w:rPr>
          <w:lang/>
        </w:rPr>
        <w:t xml:space="preserve">, children, adolescents, </w:t>
      </w:r>
      <w:r w:rsidR="006847BA" w:rsidRPr="006847BA">
        <w:rPr>
          <w:rStyle w:val="hps"/>
          <w:lang/>
        </w:rPr>
        <w:t>students</w:t>
      </w:r>
      <w:r w:rsidR="006847BA" w:rsidRPr="006847BA">
        <w:rPr>
          <w:lang/>
        </w:rPr>
        <w:t xml:space="preserve"> </w:t>
      </w:r>
      <w:r w:rsidR="006847BA" w:rsidRPr="006847BA">
        <w:rPr>
          <w:rStyle w:val="hps"/>
          <w:lang/>
        </w:rPr>
        <w:t>and young people</w:t>
      </w:r>
      <w:r w:rsidR="006847BA" w:rsidRPr="006847BA">
        <w:rPr>
          <w:lang/>
        </w:rPr>
        <w:t>.</w:t>
      </w:r>
    </w:p>
    <w:p w:rsidR="006847BA" w:rsidRPr="006847BA" w:rsidRDefault="006847BA" w:rsidP="006847BA">
      <w:pPr>
        <w:pStyle w:val="BodyText2"/>
        <w:ind w:right="26"/>
        <w:jc w:val="both"/>
        <w:rPr>
          <w:rFonts w:ascii="Times New Roman" w:hAnsi="Times New Roman" w:cs="Times New Roman"/>
          <w:bCs/>
          <w:color w:val="auto"/>
          <w:sz w:val="24"/>
          <w:szCs w:val="24"/>
          <w:u w:val="single"/>
          <w:lang w:val="en-US"/>
        </w:rPr>
      </w:pPr>
    </w:p>
    <w:p w:rsidR="006847BA" w:rsidRPr="006847BA" w:rsidRDefault="006847BA" w:rsidP="006847BA">
      <w:pPr>
        <w:autoSpaceDE w:val="0"/>
        <w:autoSpaceDN w:val="0"/>
        <w:adjustRightInd w:val="0"/>
        <w:ind w:right="26"/>
        <w:jc w:val="both"/>
        <w:rPr>
          <w:b/>
          <w:lang w:val="en-US"/>
        </w:rPr>
      </w:pPr>
      <w:r w:rsidRPr="006847BA">
        <w:rPr>
          <w:b/>
          <w:lang w:val="en-US"/>
        </w:rPr>
        <w:t>Prevention and Combating of Corporal Punishment of Children</w:t>
      </w:r>
    </w:p>
    <w:p w:rsidR="006847BA" w:rsidRPr="006847BA" w:rsidRDefault="006847BA" w:rsidP="006847BA">
      <w:pPr>
        <w:jc w:val="both"/>
        <w:rPr>
          <w:lang w:val="en-US"/>
        </w:rPr>
      </w:pPr>
    </w:p>
    <w:p w:rsidR="006847BA" w:rsidRPr="006847BA" w:rsidRDefault="00EA19C8" w:rsidP="006847BA">
      <w:pPr>
        <w:jc w:val="both"/>
        <w:rPr>
          <w:rFonts w:cs="Calibri"/>
          <w:lang w:val="en-US"/>
        </w:rPr>
      </w:pPr>
      <w:r>
        <w:rPr>
          <w:lang w:val="en-US"/>
        </w:rPr>
        <w:t>325.</w:t>
      </w:r>
      <w:r>
        <w:rPr>
          <w:lang w:val="en-US"/>
        </w:rPr>
        <w:tab/>
      </w:r>
      <w:r w:rsidR="006847BA" w:rsidRPr="006847BA">
        <w:rPr>
          <w:lang w:val="en-US"/>
        </w:rPr>
        <w:t>In Greek schools Law does not allow corporal punishment while other means are suggested for promoting good conduct of students within the school environment.</w:t>
      </w:r>
      <w:r w:rsidR="006847BA" w:rsidRPr="006847BA">
        <w:rPr>
          <w:rFonts w:cs="Calibri"/>
          <w:lang w:val="en-US"/>
        </w:rPr>
        <w:t xml:space="preserve"> Additionally, (Article 4 of) the Law (3500/2006) “for dealing with domestic violence” makes clear that “corporal punishment is not allowed in the framework of raising and educating children”.</w:t>
      </w:r>
    </w:p>
    <w:p w:rsidR="006847BA" w:rsidRPr="006847BA" w:rsidRDefault="006847BA" w:rsidP="006847BA">
      <w:pPr>
        <w:jc w:val="both"/>
        <w:rPr>
          <w:rFonts w:cs="Calibri"/>
          <w:lang w:val="en-US"/>
        </w:rPr>
      </w:pPr>
    </w:p>
    <w:p w:rsidR="006847BA" w:rsidRPr="006847BA" w:rsidRDefault="00EA19C8" w:rsidP="006847BA">
      <w:pPr>
        <w:jc w:val="both"/>
        <w:rPr>
          <w:rFonts w:cs="Calibri"/>
          <w:lang w:val="en-US"/>
        </w:rPr>
      </w:pPr>
      <w:r>
        <w:rPr>
          <w:lang w:val="en-US"/>
        </w:rPr>
        <w:t>326.</w:t>
      </w:r>
      <w:r>
        <w:rPr>
          <w:lang w:val="en-US"/>
        </w:rPr>
        <w:tab/>
      </w:r>
      <w:r w:rsidR="006847BA" w:rsidRPr="006847BA">
        <w:rPr>
          <w:lang w:val="en-US"/>
        </w:rPr>
        <w:t xml:space="preserve">The Greek Ministry of Education is a founding member of the Network for the Prevention and Combating of Corporal Punishment of Children. It works </w:t>
      </w:r>
      <w:r w:rsidR="006847BA" w:rsidRPr="006847BA">
        <w:rPr>
          <w:rFonts w:cs="Calibri"/>
          <w:lang w:val="en-US"/>
        </w:rPr>
        <w:t xml:space="preserve">towards the elimination of any vestiges of physical punishment of children in Greece and its rationale is that children should be raised by means of dialogue and participation as well as by means of methods which accord with the principles of contemporary pedagogical sciences. </w:t>
      </w:r>
    </w:p>
    <w:p w:rsidR="006847BA" w:rsidRPr="006847BA" w:rsidRDefault="006847BA" w:rsidP="006847BA">
      <w:pPr>
        <w:ind w:right="26"/>
        <w:jc w:val="both"/>
        <w:rPr>
          <w:lang w:val="en-US"/>
        </w:rPr>
      </w:pPr>
    </w:p>
    <w:p w:rsidR="006847BA" w:rsidRPr="006847BA" w:rsidRDefault="00EA19C8" w:rsidP="006847BA">
      <w:pPr>
        <w:jc w:val="both"/>
        <w:rPr>
          <w:rFonts w:cs="Calibri"/>
          <w:lang w:val="en-US"/>
        </w:rPr>
      </w:pPr>
      <w:r>
        <w:rPr>
          <w:rFonts w:cs="Calibri"/>
          <w:lang w:val="en-US"/>
        </w:rPr>
        <w:t>327.</w:t>
      </w:r>
      <w:r>
        <w:rPr>
          <w:rFonts w:cs="Calibri"/>
          <w:lang w:val="en-US"/>
        </w:rPr>
        <w:tab/>
      </w:r>
      <w:r w:rsidR="006847BA" w:rsidRPr="006847BA">
        <w:rPr>
          <w:rFonts w:cs="Calibri"/>
          <w:lang w:val="en-US"/>
        </w:rPr>
        <w:t xml:space="preserve">On May 2011, the Network organized an open discussion at the premises of Ministry of Education. Its subject was “How can we help parents raise their children without violence?” and aimed at involving all competent bodies, as well as those working with and for children in a fruitful discussion about positive parental role. </w:t>
      </w:r>
    </w:p>
    <w:p w:rsidR="00822681" w:rsidRDefault="00822681">
      <w:pPr>
        <w:pStyle w:val="BodyText2"/>
        <w:ind w:right="26"/>
        <w:jc w:val="both"/>
        <w:rPr>
          <w:rFonts w:ascii="Times New Roman" w:hAnsi="Times New Roman" w:cs="Times New Roman"/>
          <w:bCs/>
          <w:color w:val="auto"/>
          <w:sz w:val="24"/>
          <w:szCs w:val="24"/>
          <w:u w:val="single"/>
          <w:lang w:val="en-US"/>
        </w:rPr>
      </w:pPr>
    </w:p>
    <w:p w:rsidR="00822681" w:rsidRDefault="00822681">
      <w:pPr>
        <w:pStyle w:val="BodyText2"/>
        <w:ind w:right="26"/>
        <w:jc w:val="both"/>
        <w:rPr>
          <w:rFonts w:ascii="Times New Roman" w:hAnsi="Times New Roman" w:cs="Times New Roman"/>
          <w:b/>
          <w:bCs/>
          <w:color w:val="auto"/>
          <w:lang w:val="en-US"/>
        </w:rPr>
      </w:pPr>
    </w:p>
    <w:p w:rsidR="00822681" w:rsidRDefault="00822681">
      <w:pPr>
        <w:pStyle w:val="BodyText2"/>
        <w:ind w:right="26"/>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ARTICLE 15</w:t>
      </w:r>
    </w:p>
    <w:p w:rsidR="00822681" w:rsidRDefault="00822681">
      <w:pPr>
        <w:pStyle w:val="BodyText2"/>
        <w:ind w:right="26"/>
        <w:jc w:val="both"/>
        <w:rPr>
          <w:rFonts w:ascii="Times New Roman" w:hAnsi="Times New Roman" w:cs="Times New Roman"/>
          <w:bCs/>
          <w:color w:val="auto"/>
          <w:u w:val="single"/>
          <w:lang w:val="en-US"/>
        </w:rPr>
      </w:pPr>
    </w:p>
    <w:p w:rsidR="00822681" w:rsidRDefault="00822681">
      <w:pPr>
        <w:ind w:right="26"/>
        <w:jc w:val="both"/>
        <w:rPr>
          <w:b/>
          <w:bCs/>
          <w:iCs/>
          <w:lang w:val="en-US"/>
        </w:rPr>
      </w:pPr>
      <w:r>
        <w:rPr>
          <w:b/>
          <w:bCs/>
          <w:iCs/>
          <w:lang w:val="en-US"/>
        </w:rPr>
        <w:t>Availability of funds</w:t>
      </w:r>
    </w:p>
    <w:p w:rsidR="00822681" w:rsidRDefault="00EA19C8">
      <w:pPr>
        <w:pStyle w:val="ParaNo"/>
        <w:numPr>
          <w:ilvl w:val="0"/>
          <w:numId w:val="0"/>
        </w:numPr>
        <w:ind w:right="26"/>
        <w:jc w:val="both"/>
        <w:rPr>
          <w:lang w:val="en-US"/>
        </w:rPr>
      </w:pPr>
      <w:r>
        <w:rPr>
          <w:lang w:val="en-US"/>
        </w:rPr>
        <w:t>328.</w:t>
      </w:r>
      <w:r>
        <w:rPr>
          <w:lang w:val="en-US"/>
        </w:rPr>
        <w:tab/>
      </w:r>
      <w:r w:rsidR="00822681">
        <w:rPr>
          <w:lang w:val="en-US"/>
        </w:rPr>
        <w:t>The t</w:t>
      </w:r>
      <w:r w:rsidR="00822681">
        <w:rPr>
          <w:bCs/>
          <w:lang w:val="en-US"/>
        </w:rPr>
        <w:t>ables</w:t>
      </w:r>
      <w:r w:rsidR="00822681">
        <w:rPr>
          <w:b/>
          <w:lang w:val="en-US"/>
        </w:rPr>
        <w:t xml:space="preserve"> contained in Annex 9 </w:t>
      </w:r>
      <w:r w:rsidR="00822681">
        <w:rPr>
          <w:lang w:val="en-US"/>
        </w:rPr>
        <w:t xml:space="preserve">present the expenditure of the </w:t>
      </w:r>
      <w:r w:rsidR="00E412A6">
        <w:rPr>
          <w:lang w:val="en-US"/>
        </w:rPr>
        <w:t xml:space="preserve">(then) </w:t>
      </w:r>
      <w:r w:rsidR="00822681">
        <w:rPr>
          <w:lang w:val="en-US"/>
        </w:rPr>
        <w:t>Ministry of Culture for the development and support in different sectors for the years 2004-2008</w:t>
      </w:r>
      <w:r w:rsidR="009879AE">
        <w:rPr>
          <w:lang w:val="en-US"/>
        </w:rPr>
        <w:t xml:space="preserve">. </w:t>
      </w:r>
    </w:p>
    <w:p w:rsidR="00822681" w:rsidRDefault="00822681">
      <w:pPr>
        <w:ind w:right="26"/>
        <w:jc w:val="both"/>
        <w:rPr>
          <w:b/>
          <w:bCs/>
          <w:lang w:val="en-US"/>
        </w:rPr>
      </w:pPr>
    </w:p>
    <w:p w:rsidR="00822681" w:rsidRDefault="00822681">
      <w:pPr>
        <w:ind w:right="26"/>
        <w:jc w:val="both"/>
        <w:rPr>
          <w:b/>
          <w:bCs/>
          <w:lang w:val="en-US"/>
        </w:rPr>
      </w:pPr>
      <w:r>
        <w:rPr>
          <w:b/>
          <w:bCs/>
          <w:lang w:val="en-US"/>
        </w:rPr>
        <w:t>Developments in Institutional Infrastructure</w:t>
      </w:r>
    </w:p>
    <w:p w:rsidR="00822681" w:rsidRDefault="00822681">
      <w:pPr>
        <w:ind w:right="26"/>
        <w:jc w:val="both"/>
        <w:rPr>
          <w:b/>
          <w:bCs/>
          <w:lang w:val="en-US"/>
        </w:rPr>
      </w:pPr>
    </w:p>
    <w:p w:rsidR="00822681" w:rsidRDefault="00EA19C8">
      <w:pPr>
        <w:autoSpaceDE w:val="0"/>
        <w:autoSpaceDN w:val="0"/>
        <w:adjustRightInd w:val="0"/>
        <w:ind w:right="26"/>
        <w:jc w:val="both"/>
        <w:rPr>
          <w:lang w:val="en-GB"/>
        </w:rPr>
      </w:pPr>
      <w:r>
        <w:rPr>
          <w:lang w:val="en-GB"/>
        </w:rPr>
        <w:t>329.</w:t>
      </w:r>
      <w:r>
        <w:rPr>
          <w:lang w:val="en-GB"/>
        </w:rPr>
        <w:tab/>
      </w:r>
      <w:r w:rsidR="00822681">
        <w:rPr>
          <w:lang w:val="en-GB"/>
        </w:rPr>
        <w:t>The National B</w:t>
      </w:r>
      <w:r w:rsidR="002C0203">
        <w:rPr>
          <w:lang w:val="en-GB"/>
        </w:rPr>
        <w:t xml:space="preserve">ook Centre of Greece (EKEBI), </w:t>
      </w:r>
      <w:r w:rsidR="00822681">
        <w:rPr>
          <w:lang w:val="en-GB"/>
        </w:rPr>
        <w:t xml:space="preserve">a private non-profit legal entity established in 1994 by the </w:t>
      </w:r>
      <w:r w:rsidR="00E412A6">
        <w:rPr>
          <w:lang w:val="en-GB"/>
        </w:rPr>
        <w:t xml:space="preserve">(then) </w:t>
      </w:r>
      <w:r w:rsidR="00822681">
        <w:rPr>
          <w:lang w:val="en-GB"/>
        </w:rPr>
        <w:t>Ministry of Culture</w:t>
      </w:r>
      <w:r w:rsidR="002C0203">
        <w:rPr>
          <w:lang w:val="en-GB"/>
        </w:rPr>
        <w:t>, has been impelementing</w:t>
      </w:r>
      <w:r w:rsidR="00822681">
        <w:rPr>
          <w:lang w:val="en-GB"/>
        </w:rPr>
        <w:t xml:space="preserve"> actions on education for children and adults and plays an important role in fostering participation in cultural life in remote parts of Greece, through the creation of book groups and the promotion of cultural heritage and contemporary culture. </w:t>
      </w:r>
    </w:p>
    <w:p w:rsidR="00822681" w:rsidRDefault="00822681">
      <w:pPr>
        <w:autoSpaceDE w:val="0"/>
        <w:autoSpaceDN w:val="0"/>
        <w:adjustRightInd w:val="0"/>
        <w:ind w:right="26"/>
        <w:jc w:val="both"/>
        <w:rPr>
          <w:b/>
          <w:lang w:val="en-US"/>
        </w:rPr>
      </w:pPr>
    </w:p>
    <w:p w:rsidR="00822681" w:rsidRDefault="00EA19C8">
      <w:pPr>
        <w:ind w:right="26"/>
        <w:jc w:val="both"/>
        <w:rPr>
          <w:b/>
          <w:bCs/>
          <w:lang w:val="en-GB"/>
        </w:rPr>
      </w:pPr>
      <w:r>
        <w:rPr>
          <w:bCs/>
          <w:lang w:val="en-US"/>
        </w:rPr>
        <w:t>330.</w:t>
      </w:r>
      <w:r>
        <w:rPr>
          <w:bCs/>
          <w:lang w:val="en-US"/>
        </w:rPr>
        <w:tab/>
      </w:r>
      <w:r w:rsidR="00822681">
        <w:rPr>
          <w:bCs/>
          <w:lang w:val="en-US"/>
        </w:rPr>
        <w:t xml:space="preserve">The National Centre for the Theatre and Dance is a private legal entity, supervised by the </w:t>
      </w:r>
      <w:r w:rsidR="00E412A6">
        <w:rPr>
          <w:bCs/>
          <w:lang w:val="en-US"/>
        </w:rPr>
        <w:t xml:space="preserve">(then) </w:t>
      </w:r>
      <w:r w:rsidR="00822681">
        <w:rPr>
          <w:bCs/>
          <w:lang w:val="en-US"/>
        </w:rPr>
        <w:t>Ministry of Culture, according to Law No.3565/2007</w:t>
      </w:r>
      <w:r w:rsidR="00822681">
        <w:rPr>
          <w:bCs/>
          <w:i/>
          <w:iCs/>
          <w:lang w:val="en-US"/>
        </w:rPr>
        <w:t>.</w:t>
      </w:r>
      <w:r w:rsidR="00822681">
        <w:rPr>
          <w:bCs/>
          <w:lang w:val="en-US"/>
        </w:rPr>
        <w:t xml:space="preserve"> The main purposes of the Centre are the implementation of national policy in relation to the theatre and dance and the provision of support to the Ministry of  </w:t>
      </w:r>
      <w:r w:rsidR="002C0203">
        <w:rPr>
          <w:bCs/>
          <w:lang w:val="en-US"/>
        </w:rPr>
        <w:t xml:space="preserve">Education and Religious Affairs, </w:t>
      </w:r>
      <w:r w:rsidR="00822681">
        <w:rPr>
          <w:bCs/>
          <w:lang w:val="en-US"/>
        </w:rPr>
        <w:t xml:space="preserve">Culture and </w:t>
      </w:r>
      <w:r w:rsidR="002C0203">
        <w:rPr>
          <w:bCs/>
          <w:lang w:val="en-US"/>
        </w:rPr>
        <w:t>Sports (hereafter: the Ministry),</w:t>
      </w:r>
      <w:r w:rsidR="00822681">
        <w:rPr>
          <w:bCs/>
          <w:lang w:val="en-US"/>
        </w:rPr>
        <w:t xml:space="preserve"> while specifying and planning such a policy</w:t>
      </w:r>
      <w:r w:rsidR="00822681">
        <w:rPr>
          <w:b/>
          <w:bCs/>
          <w:lang w:val="en-US"/>
        </w:rPr>
        <w:t>.</w:t>
      </w:r>
    </w:p>
    <w:p w:rsidR="00822681" w:rsidRDefault="00822681">
      <w:pPr>
        <w:ind w:right="26"/>
        <w:jc w:val="both"/>
        <w:rPr>
          <w:lang w:val="en-US"/>
        </w:rPr>
      </w:pPr>
    </w:p>
    <w:p w:rsidR="00822681" w:rsidRDefault="00822681">
      <w:pPr>
        <w:ind w:right="26"/>
        <w:jc w:val="both"/>
        <w:rPr>
          <w:b/>
          <w:lang w:val="en-US"/>
        </w:rPr>
      </w:pPr>
      <w:r>
        <w:rPr>
          <w:b/>
          <w:lang w:val="en-US"/>
        </w:rPr>
        <w:t>Developments in the Museum field</w:t>
      </w:r>
    </w:p>
    <w:p w:rsidR="00822681" w:rsidRDefault="00822681">
      <w:pPr>
        <w:ind w:right="26"/>
        <w:jc w:val="both"/>
        <w:rPr>
          <w:lang w:val="en-US"/>
        </w:rPr>
      </w:pPr>
    </w:p>
    <w:p w:rsidR="00822681" w:rsidRDefault="00EA19C8">
      <w:pPr>
        <w:ind w:right="26"/>
        <w:jc w:val="both"/>
        <w:rPr>
          <w:lang w:val="en-US"/>
        </w:rPr>
      </w:pPr>
      <w:r>
        <w:rPr>
          <w:lang w:val="en-US"/>
        </w:rPr>
        <w:t>331.</w:t>
      </w:r>
      <w:r>
        <w:rPr>
          <w:lang w:val="en-US"/>
        </w:rPr>
        <w:tab/>
      </w:r>
      <w:r w:rsidR="00822681">
        <w:rPr>
          <w:lang w:val="en-US"/>
        </w:rPr>
        <w:t xml:space="preserve">In 2007, the construction of the New Acropolis Museum was completed. The organization of its permanent exhibitions has already been launched and the Museum was officially inaugurated in </w:t>
      </w:r>
      <w:smartTag w:uri="urn:schemas-microsoft-com:office:smarttags" w:element="date">
        <w:smartTagPr>
          <w:attr w:name="Year" w:val="2009"/>
          <w:attr w:name="Day" w:val="20"/>
          <w:attr w:name="Month" w:val="6"/>
        </w:smartTagPr>
        <w:r w:rsidR="00822681">
          <w:rPr>
            <w:lang w:val="en-US"/>
          </w:rPr>
          <w:t>June 20</w:t>
        </w:r>
        <w:r w:rsidR="00822681">
          <w:rPr>
            <w:vertAlign w:val="superscript"/>
            <w:lang w:val="en-US"/>
          </w:rPr>
          <w:t>th</w:t>
        </w:r>
        <w:r w:rsidR="00822681">
          <w:rPr>
            <w:lang w:val="en-US"/>
          </w:rPr>
          <w:t xml:space="preserve"> 2009</w:t>
        </w:r>
      </w:smartTag>
      <w:r w:rsidR="00822681">
        <w:rPr>
          <w:lang w:val="en-US"/>
        </w:rPr>
        <w:t>.</w:t>
      </w:r>
    </w:p>
    <w:p w:rsidR="00822681" w:rsidRDefault="00822681">
      <w:pPr>
        <w:ind w:right="26"/>
        <w:jc w:val="both"/>
        <w:rPr>
          <w:lang w:val="en-US"/>
        </w:rPr>
      </w:pPr>
    </w:p>
    <w:p w:rsidR="00822681" w:rsidRDefault="00EA19C8">
      <w:pPr>
        <w:ind w:right="26"/>
        <w:jc w:val="both"/>
        <w:rPr>
          <w:lang w:val="en-US"/>
        </w:rPr>
      </w:pPr>
      <w:r>
        <w:rPr>
          <w:lang w:val="en-US"/>
        </w:rPr>
        <w:t>332.</w:t>
      </w:r>
      <w:r>
        <w:rPr>
          <w:lang w:val="en-US"/>
        </w:rPr>
        <w:tab/>
      </w:r>
      <w:r w:rsidR="00822681">
        <w:rPr>
          <w:lang w:val="en-US"/>
        </w:rPr>
        <w:t xml:space="preserve">Since 2000, 26 archaeological museums and 15 archaeological collections or/and permanent exhibitions were inaugurated. During the abovementioned period, procedures of re-exhibition carried out in 39 archaeological museums and in 3 archaeological collections. </w:t>
      </w:r>
    </w:p>
    <w:p w:rsidR="00822681" w:rsidRDefault="00822681">
      <w:pPr>
        <w:autoSpaceDE w:val="0"/>
        <w:autoSpaceDN w:val="0"/>
        <w:adjustRightInd w:val="0"/>
        <w:ind w:right="26"/>
        <w:jc w:val="both"/>
        <w:rPr>
          <w:lang w:val="en-US"/>
        </w:rPr>
      </w:pPr>
    </w:p>
    <w:p w:rsidR="00EA19C8" w:rsidRDefault="00EA19C8">
      <w:pPr>
        <w:autoSpaceDE w:val="0"/>
        <w:autoSpaceDN w:val="0"/>
        <w:adjustRightInd w:val="0"/>
        <w:ind w:right="26"/>
        <w:jc w:val="both"/>
        <w:rPr>
          <w:lang w:val="en-US"/>
        </w:rPr>
      </w:pPr>
      <w:r>
        <w:rPr>
          <w:lang w:val="en-US"/>
        </w:rPr>
        <w:t>333.</w:t>
      </w:r>
      <w:r>
        <w:rPr>
          <w:lang w:val="en-US"/>
        </w:rPr>
        <w:tab/>
      </w:r>
      <w:r w:rsidR="002C0203">
        <w:rPr>
          <w:lang w:val="en-US"/>
        </w:rPr>
        <w:t>An</w:t>
      </w:r>
      <w:r w:rsidR="00822681">
        <w:rPr>
          <w:lang w:val="en-US"/>
        </w:rPr>
        <w:t xml:space="preserve"> Office for the project of Unification of the Archaeological Sites of Athens</w:t>
      </w:r>
      <w:r w:rsidR="002C0203">
        <w:rPr>
          <w:lang w:val="en-US"/>
        </w:rPr>
        <w:t xml:space="preserve"> has been established</w:t>
      </w:r>
      <w:r w:rsidR="00822681">
        <w:rPr>
          <w:lang w:val="en-US"/>
        </w:rPr>
        <w:t xml:space="preserve">, which is responsible for the coordination and monitoring of the project for the overall presentation of important archaeological sites. </w:t>
      </w:r>
    </w:p>
    <w:p w:rsidR="00EA19C8" w:rsidRDefault="00EA19C8">
      <w:pPr>
        <w:autoSpaceDE w:val="0"/>
        <w:autoSpaceDN w:val="0"/>
        <w:adjustRightInd w:val="0"/>
        <w:ind w:right="26"/>
        <w:jc w:val="both"/>
        <w:rPr>
          <w:lang w:val="en-US"/>
        </w:rPr>
      </w:pPr>
    </w:p>
    <w:p w:rsidR="00822681" w:rsidRDefault="00EA19C8">
      <w:pPr>
        <w:autoSpaceDE w:val="0"/>
        <w:autoSpaceDN w:val="0"/>
        <w:adjustRightInd w:val="0"/>
        <w:ind w:right="26"/>
        <w:jc w:val="both"/>
        <w:rPr>
          <w:lang w:val="en-US"/>
        </w:rPr>
      </w:pPr>
      <w:r>
        <w:rPr>
          <w:lang w:val="en-US"/>
        </w:rPr>
        <w:t>334.</w:t>
      </w:r>
      <w:r>
        <w:rPr>
          <w:lang w:val="en-US"/>
        </w:rPr>
        <w:tab/>
      </w:r>
      <w:r w:rsidR="00822681">
        <w:rPr>
          <w:lang w:val="en-US"/>
        </w:rPr>
        <w:t xml:space="preserve">The Melina Merkouri Foundation was established for promoting the creation of the Acropolis Museum and the return of the Parthenon Marbles. </w:t>
      </w:r>
    </w:p>
    <w:p w:rsidR="00822681" w:rsidRDefault="00822681">
      <w:pPr>
        <w:autoSpaceDE w:val="0"/>
        <w:autoSpaceDN w:val="0"/>
        <w:adjustRightInd w:val="0"/>
        <w:ind w:right="26"/>
        <w:jc w:val="both"/>
        <w:rPr>
          <w:lang w:val="en-US"/>
        </w:rPr>
      </w:pPr>
    </w:p>
    <w:p w:rsidR="00822681" w:rsidRDefault="00822681">
      <w:pPr>
        <w:autoSpaceDE w:val="0"/>
        <w:autoSpaceDN w:val="0"/>
        <w:adjustRightInd w:val="0"/>
        <w:ind w:right="26"/>
        <w:jc w:val="both"/>
        <w:rPr>
          <w:b/>
          <w:lang w:val="en-US"/>
        </w:rPr>
      </w:pPr>
      <w:r>
        <w:rPr>
          <w:b/>
          <w:lang w:val="en-US"/>
        </w:rPr>
        <w:t xml:space="preserve">Matters of protection of the Greek Roma </w:t>
      </w:r>
    </w:p>
    <w:p w:rsidR="00822681" w:rsidRDefault="00822681">
      <w:pPr>
        <w:autoSpaceDE w:val="0"/>
        <w:autoSpaceDN w:val="0"/>
        <w:adjustRightInd w:val="0"/>
        <w:ind w:right="26"/>
        <w:jc w:val="both"/>
        <w:rPr>
          <w:b/>
          <w:lang w:val="en-US"/>
        </w:rPr>
      </w:pPr>
    </w:p>
    <w:p w:rsidR="00822681" w:rsidRDefault="00EA19C8">
      <w:pPr>
        <w:autoSpaceDE w:val="0"/>
        <w:autoSpaceDN w:val="0"/>
        <w:adjustRightInd w:val="0"/>
        <w:ind w:right="26"/>
        <w:jc w:val="both"/>
        <w:rPr>
          <w:sz w:val="20"/>
          <w:szCs w:val="20"/>
          <w:lang w:val="en-US"/>
        </w:rPr>
      </w:pPr>
      <w:r>
        <w:rPr>
          <w:lang w:val="en-US"/>
        </w:rPr>
        <w:t>335.</w:t>
      </w:r>
      <w:r>
        <w:rPr>
          <w:lang w:val="en-US"/>
        </w:rPr>
        <w:tab/>
      </w:r>
      <w:r w:rsidR="00822681">
        <w:rPr>
          <w:lang w:val="en-US"/>
        </w:rPr>
        <w:t>For the protection and presentation of local cultures and cultural diversity, the Ministry has been implementing and coordinating research and educational projects since 1999 for the Greek Roma. These projects aim at studying and presenting the rich Roma cultural heritage, as well as the acquaintance and approach of Roma with the broader society. A number of activities have bee</w:t>
      </w:r>
      <w:r w:rsidR="009879AE">
        <w:rPr>
          <w:lang w:val="en-US"/>
        </w:rPr>
        <w:t>n implemented from 1999 to 2008</w:t>
      </w:r>
      <w:r w:rsidR="00822681">
        <w:rPr>
          <w:lang w:val="en-US"/>
        </w:rPr>
        <w:t>.</w:t>
      </w:r>
    </w:p>
    <w:p w:rsidR="00822681" w:rsidRDefault="00822681">
      <w:pPr>
        <w:ind w:right="26"/>
        <w:jc w:val="both"/>
        <w:rPr>
          <w:lang w:val="en-US"/>
        </w:rPr>
      </w:pPr>
    </w:p>
    <w:p w:rsidR="00822681" w:rsidRDefault="00822681">
      <w:pPr>
        <w:autoSpaceDE w:val="0"/>
        <w:autoSpaceDN w:val="0"/>
        <w:adjustRightInd w:val="0"/>
        <w:ind w:right="26"/>
        <w:jc w:val="both"/>
        <w:rPr>
          <w:b/>
          <w:lang w:val="en-US"/>
        </w:rPr>
      </w:pPr>
      <w:r>
        <w:rPr>
          <w:b/>
          <w:lang w:val="en-US"/>
        </w:rPr>
        <w:t>Special educational programmes organized and addressed to young people with special needs (vision, hearing, mobility)</w:t>
      </w:r>
    </w:p>
    <w:p w:rsidR="00822681" w:rsidRDefault="00822681">
      <w:pPr>
        <w:autoSpaceDE w:val="0"/>
        <w:autoSpaceDN w:val="0"/>
        <w:adjustRightInd w:val="0"/>
        <w:ind w:right="26"/>
        <w:jc w:val="both"/>
        <w:rPr>
          <w:b/>
          <w:lang w:val="en-US"/>
        </w:rPr>
      </w:pPr>
    </w:p>
    <w:p w:rsidR="00822681" w:rsidRDefault="00EA19C8">
      <w:pPr>
        <w:autoSpaceDE w:val="0"/>
        <w:autoSpaceDN w:val="0"/>
        <w:adjustRightInd w:val="0"/>
        <w:ind w:right="26"/>
        <w:jc w:val="both"/>
        <w:rPr>
          <w:lang w:val="en-US"/>
        </w:rPr>
      </w:pPr>
      <w:r>
        <w:rPr>
          <w:lang w:val="en-US"/>
        </w:rPr>
        <w:t>336.</w:t>
      </w:r>
      <w:r>
        <w:rPr>
          <w:lang w:val="en-US"/>
        </w:rPr>
        <w:tab/>
      </w:r>
      <w:r w:rsidR="00822681">
        <w:rPr>
          <w:lang w:val="en-US"/>
        </w:rPr>
        <w:t xml:space="preserve">The Department of Educational Programmes of the Ministry adapts existing actions or plans new ones according to the special needs of the public. Special educational programmes have been designed for archaeological-educational exhibitions. </w:t>
      </w:r>
    </w:p>
    <w:p w:rsidR="00822681" w:rsidRDefault="00822681">
      <w:pPr>
        <w:ind w:right="26"/>
        <w:jc w:val="both"/>
        <w:rPr>
          <w:b/>
          <w:bCs/>
          <w:lang w:val="en-US"/>
        </w:rPr>
      </w:pPr>
    </w:p>
    <w:p w:rsidR="00822681" w:rsidRDefault="00EA19C8">
      <w:pPr>
        <w:ind w:right="26"/>
        <w:jc w:val="both"/>
        <w:rPr>
          <w:lang w:val="en-US"/>
        </w:rPr>
      </w:pPr>
      <w:r>
        <w:rPr>
          <w:lang w:val="en-US"/>
        </w:rPr>
        <w:t>337.</w:t>
      </w:r>
      <w:r>
        <w:rPr>
          <w:lang w:val="en-US"/>
        </w:rPr>
        <w:tab/>
      </w:r>
      <w:r w:rsidR="00822681">
        <w:rPr>
          <w:lang w:val="en-US"/>
        </w:rPr>
        <w:t xml:space="preserve">The Educational Programs and Communication Department of the Directorate of Museums, Exhibitions and Educational Programs of the Ministry realize educational activities addressed to children with disabilities. Every educational program designed by the Department can be implemented to groups of children according to their special needs. </w:t>
      </w:r>
    </w:p>
    <w:p w:rsidR="00822681" w:rsidRDefault="00822681">
      <w:pPr>
        <w:ind w:right="26"/>
        <w:jc w:val="both"/>
        <w:rPr>
          <w:lang w:val="en-US"/>
        </w:rPr>
      </w:pPr>
    </w:p>
    <w:p w:rsidR="00822681" w:rsidRDefault="00EA19C8">
      <w:pPr>
        <w:ind w:right="26"/>
        <w:jc w:val="both"/>
        <w:rPr>
          <w:lang w:val="en-US"/>
        </w:rPr>
      </w:pPr>
      <w:r>
        <w:rPr>
          <w:lang w:val="en-US"/>
        </w:rPr>
        <w:t>338.</w:t>
      </w:r>
      <w:r>
        <w:rPr>
          <w:lang w:val="en-US"/>
        </w:rPr>
        <w:tab/>
      </w:r>
      <w:r w:rsidR="00822681">
        <w:rPr>
          <w:lang w:val="en-US"/>
        </w:rPr>
        <w:t xml:space="preserve">In 2003, European Year of People with Disabilities, the Ministry drew up and </w:t>
      </w:r>
      <w:r w:rsidR="009879AE">
        <w:rPr>
          <w:lang w:val="en-US"/>
        </w:rPr>
        <w:t>implemented</w:t>
      </w:r>
      <w:r w:rsidR="00822681">
        <w:rPr>
          <w:lang w:val="en-US"/>
        </w:rPr>
        <w:t xml:space="preserve"> a National Action Plan on the occasion of the 2004 Paraolympic Games. </w:t>
      </w:r>
    </w:p>
    <w:p w:rsidR="00822681" w:rsidRDefault="00822681">
      <w:pPr>
        <w:ind w:right="26"/>
        <w:jc w:val="both"/>
        <w:rPr>
          <w:lang w:val="en-US"/>
        </w:rPr>
      </w:pPr>
    </w:p>
    <w:p w:rsidR="00822681" w:rsidRDefault="00EA19C8">
      <w:pPr>
        <w:ind w:right="26"/>
        <w:jc w:val="both"/>
        <w:rPr>
          <w:lang w:val="en-US"/>
        </w:rPr>
      </w:pPr>
      <w:r>
        <w:rPr>
          <w:lang w:val="en-US"/>
        </w:rPr>
        <w:t>339.</w:t>
      </w:r>
      <w:r>
        <w:rPr>
          <w:lang w:val="en-US"/>
        </w:rPr>
        <w:tab/>
      </w:r>
      <w:r w:rsidR="00822681">
        <w:rPr>
          <w:lang w:val="en-US"/>
        </w:rPr>
        <w:t>In 2006-2007 the educational program titled “Invitation to a supper on the ancient Agora of Athens” which was designed by the Educational Programs and Communication Department in the framework of the celebrations of European Days of Cultural Heritage 2005-2006 was implemented with great success to children of primary education with vision impairment and to children of secondary education with mobility problems.</w:t>
      </w:r>
    </w:p>
    <w:p w:rsidR="002C0203" w:rsidRDefault="002C0203">
      <w:pPr>
        <w:ind w:right="26"/>
        <w:jc w:val="both"/>
        <w:rPr>
          <w:lang w:val="en-US"/>
        </w:rPr>
      </w:pPr>
    </w:p>
    <w:p w:rsidR="002C0203" w:rsidRDefault="002C0203" w:rsidP="002C0203">
      <w:pPr>
        <w:autoSpaceDE w:val="0"/>
        <w:autoSpaceDN w:val="0"/>
        <w:adjustRightInd w:val="0"/>
        <w:ind w:right="26"/>
        <w:jc w:val="both"/>
        <w:rPr>
          <w:b/>
          <w:bCs/>
          <w:lang w:val="en-US"/>
        </w:rPr>
      </w:pPr>
      <w:r>
        <w:rPr>
          <w:b/>
          <w:bCs/>
          <w:lang w:val="en-US"/>
        </w:rPr>
        <w:t>Care and Protection of persons with special needs and disabilities</w:t>
      </w:r>
    </w:p>
    <w:p w:rsidR="002C0203" w:rsidRDefault="002C0203" w:rsidP="002C0203">
      <w:pPr>
        <w:autoSpaceDE w:val="0"/>
        <w:autoSpaceDN w:val="0"/>
        <w:adjustRightInd w:val="0"/>
        <w:ind w:right="26"/>
        <w:jc w:val="both"/>
        <w:rPr>
          <w:b/>
          <w:bCs/>
          <w:lang w:val="en-US"/>
        </w:rPr>
      </w:pPr>
    </w:p>
    <w:p w:rsidR="002C0203" w:rsidRDefault="00EA19C8" w:rsidP="002C0203">
      <w:pPr>
        <w:autoSpaceDE w:val="0"/>
        <w:autoSpaceDN w:val="0"/>
        <w:adjustRightInd w:val="0"/>
        <w:ind w:right="26"/>
        <w:jc w:val="both"/>
        <w:rPr>
          <w:lang w:val="en-US"/>
        </w:rPr>
      </w:pPr>
      <w:r>
        <w:rPr>
          <w:lang w:val="en-US"/>
        </w:rPr>
        <w:t>340.</w:t>
      </w:r>
      <w:r>
        <w:rPr>
          <w:lang w:val="en-US"/>
        </w:rPr>
        <w:tab/>
      </w:r>
      <w:r w:rsidR="002C0203">
        <w:rPr>
          <w:lang w:val="en-US"/>
        </w:rPr>
        <w:t>The Ministry has elaborated a detailed plan of guidelines and projects to secure access of persons with special needs and disabilities to cultural sites and museums. EKEBI’s website makes provision for persons with special needs.</w:t>
      </w:r>
    </w:p>
    <w:p w:rsidR="00822681" w:rsidRDefault="00822681">
      <w:pPr>
        <w:ind w:right="26"/>
        <w:jc w:val="both"/>
        <w:rPr>
          <w:lang w:val="en-US"/>
        </w:rPr>
      </w:pPr>
    </w:p>
    <w:p w:rsidR="00822681" w:rsidRDefault="00822681">
      <w:pPr>
        <w:ind w:right="26"/>
        <w:jc w:val="both"/>
        <w:rPr>
          <w:b/>
          <w:lang w:val="en-US"/>
        </w:rPr>
      </w:pPr>
      <w:r>
        <w:rPr>
          <w:b/>
          <w:lang w:val="en-US"/>
        </w:rPr>
        <w:t>Protection of Cultural Heritage</w:t>
      </w:r>
    </w:p>
    <w:p w:rsidR="00822681" w:rsidRDefault="00822681">
      <w:pPr>
        <w:ind w:right="26"/>
        <w:jc w:val="both"/>
        <w:rPr>
          <w:b/>
          <w:lang w:val="en-US"/>
        </w:rPr>
      </w:pPr>
    </w:p>
    <w:p w:rsidR="00822681" w:rsidRDefault="00EA19C8">
      <w:pPr>
        <w:autoSpaceDE w:val="0"/>
        <w:autoSpaceDN w:val="0"/>
        <w:adjustRightInd w:val="0"/>
        <w:ind w:right="26"/>
        <w:jc w:val="both"/>
        <w:rPr>
          <w:bCs/>
          <w:lang w:val="en-US"/>
        </w:rPr>
      </w:pPr>
      <w:r>
        <w:rPr>
          <w:lang w:val="en-US"/>
        </w:rPr>
        <w:t>341.</w:t>
      </w:r>
      <w:r>
        <w:rPr>
          <w:lang w:val="en-US"/>
        </w:rPr>
        <w:tab/>
      </w:r>
      <w:r w:rsidR="00822681">
        <w:rPr>
          <w:lang w:val="en-US"/>
        </w:rPr>
        <w:t xml:space="preserve">Law No. 3028/28.7.2002 for the Protection of Antiquities and in general of the Cultural Heritage of Greece embodies the principles and rules of international law relating to the treatment of cultural assets, as well as the modern concepts concerning the awareness of citizens for cultural heritage, easy access, and communication of the public therewith.  </w:t>
      </w:r>
      <w:r w:rsidR="00822681">
        <w:rPr>
          <w:bCs/>
          <w:lang w:val="en-US"/>
        </w:rPr>
        <w:t>Additionally, Law No.3658/2008 “Measures for the Protection of Cultural Goods and other provisions” establishes, within the framework of the Directorate General of Antiquities and Cultural Heritage of the Ministry, a new Directorate for the Documentation and Protection of Cultural Goods. The creation of this new Directorate aims at reinforcing the existing protective framework regarding cultural goods, through the establishment of a specialised body dedicated to the investigation, documentation of the provenance and claiming of cultural goods, which are subject to theft, illicit excavation or salvage and illicit trafficking in Greece or abroad. Law No. 3658/2008 also provides for sanctions on those who possess, import or export counterfeit objects intending to trade them as original.</w:t>
      </w:r>
    </w:p>
    <w:p w:rsidR="00822681" w:rsidRDefault="00822681">
      <w:pPr>
        <w:pStyle w:val="BodyText3"/>
        <w:ind w:right="26"/>
        <w:jc w:val="both"/>
        <w:rPr>
          <w:b/>
          <w:bCs/>
          <w:lang w:val="en-US"/>
        </w:rPr>
      </w:pPr>
    </w:p>
    <w:p w:rsidR="00822681" w:rsidRPr="00EA19C8" w:rsidRDefault="00EA19C8" w:rsidP="00EA19C8">
      <w:pPr>
        <w:ind w:right="26"/>
        <w:jc w:val="both"/>
        <w:rPr>
          <w:lang w:val="en-US"/>
        </w:rPr>
      </w:pPr>
      <w:r>
        <w:rPr>
          <w:lang w:val="en-US"/>
        </w:rPr>
        <w:t>342.</w:t>
      </w:r>
      <w:r>
        <w:rPr>
          <w:lang w:val="en-US"/>
        </w:rPr>
        <w:tab/>
      </w:r>
      <w:r w:rsidR="00822681">
        <w:rPr>
          <w:lang w:val="en-US"/>
        </w:rPr>
        <w:t xml:space="preserve">Greece has also ratified the major International Conventions on cultural heritage. </w:t>
      </w:r>
    </w:p>
    <w:p w:rsidR="00822681" w:rsidRDefault="00822681">
      <w:pPr>
        <w:pStyle w:val="Heading3"/>
        <w:ind w:right="26"/>
        <w:jc w:val="both"/>
        <w:rPr>
          <w:rFonts w:ascii="Times New Roman" w:hAnsi="Times New Roman" w:cs="Times New Roman"/>
          <w:sz w:val="24"/>
          <w:szCs w:val="24"/>
          <w:lang w:val="en-US"/>
        </w:rPr>
      </w:pPr>
      <w:r>
        <w:rPr>
          <w:rFonts w:ascii="Times New Roman" w:hAnsi="Times New Roman" w:cs="Times New Roman"/>
          <w:sz w:val="24"/>
          <w:szCs w:val="24"/>
          <w:lang w:val="en-US"/>
        </w:rPr>
        <w:t>Role of mass media and communications media in promoting participation in cultural life</w:t>
      </w:r>
    </w:p>
    <w:p w:rsidR="00822681" w:rsidRDefault="00EA19C8">
      <w:pPr>
        <w:spacing w:before="100" w:beforeAutospacing="1" w:after="100" w:afterAutospacing="1"/>
        <w:ind w:right="26"/>
        <w:jc w:val="both"/>
        <w:rPr>
          <w:szCs w:val="22"/>
          <w:lang w:val="en-US"/>
        </w:rPr>
      </w:pPr>
      <w:r>
        <w:rPr>
          <w:szCs w:val="22"/>
          <w:lang w:val="en-US"/>
        </w:rPr>
        <w:t>343.</w:t>
      </w:r>
      <w:r>
        <w:rPr>
          <w:szCs w:val="22"/>
          <w:lang w:val="en-US"/>
        </w:rPr>
        <w:tab/>
      </w:r>
      <w:r w:rsidR="00822681">
        <w:rPr>
          <w:szCs w:val="22"/>
          <w:lang w:val="en-US"/>
        </w:rPr>
        <w:t>A series of legislative and administrative measures initiated by the former  Ministry of Press and Mass Media (now: Secretariat General of Information - Secretariat General of Communication ) have been put into effect to support the role of mass and communications media towards promoting participation in social and cultural life.</w:t>
      </w:r>
    </w:p>
    <w:p w:rsidR="00822681" w:rsidRDefault="00EA19C8">
      <w:pPr>
        <w:spacing w:before="100" w:beforeAutospacing="1" w:after="100" w:afterAutospacing="1"/>
        <w:ind w:right="26"/>
        <w:jc w:val="both"/>
        <w:rPr>
          <w:szCs w:val="22"/>
          <w:lang w:val="en-US"/>
        </w:rPr>
      </w:pPr>
      <w:r>
        <w:rPr>
          <w:szCs w:val="22"/>
          <w:lang w:val="en-US"/>
        </w:rPr>
        <w:t>344.</w:t>
      </w:r>
      <w:r>
        <w:rPr>
          <w:szCs w:val="22"/>
          <w:lang w:val="en-US"/>
        </w:rPr>
        <w:tab/>
      </w:r>
      <w:r w:rsidR="00822681">
        <w:rPr>
          <w:szCs w:val="22"/>
          <w:lang w:val="en-US"/>
        </w:rPr>
        <w:t>In addition to the legislative texts mentioned in Greece’s Initial Report, Law 3592/ 2007 (article 6) provides that television networks and radio stations should include in their programming: a daily news broadcast in Sign Language with subtitles (at least 7 minutes long) and weekly programmes with subtitles (minimum a total of 4 hours). Privately owned media are encouraged, through a positive point-system in broadcast licensing, to include programmes accessible to people with disabilities.</w:t>
      </w:r>
    </w:p>
    <w:p w:rsidR="00822681" w:rsidRDefault="00EA19C8">
      <w:pPr>
        <w:spacing w:before="100" w:beforeAutospacing="1" w:after="100" w:afterAutospacing="1"/>
        <w:ind w:right="26"/>
        <w:jc w:val="both"/>
        <w:rPr>
          <w:szCs w:val="22"/>
          <w:lang w:val="en-US"/>
        </w:rPr>
      </w:pPr>
      <w:r>
        <w:rPr>
          <w:szCs w:val="22"/>
          <w:lang w:val="en-US"/>
        </w:rPr>
        <w:t>345.</w:t>
      </w:r>
      <w:r>
        <w:rPr>
          <w:szCs w:val="22"/>
          <w:lang w:val="en-US"/>
        </w:rPr>
        <w:tab/>
      </w:r>
      <w:r w:rsidR="00822681">
        <w:rPr>
          <w:szCs w:val="22"/>
          <w:lang w:val="en-US"/>
        </w:rPr>
        <w:t xml:space="preserve">Since 2006, the Secretariat General of Information - Secretariat General of Communication (SGC-SGI) has undertaken various projects in order to highlight the issues concerning people with disabilities and mass media: accessibility, participation, and their portrayal in mass media. </w:t>
      </w:r>
    </w:p>
    <w:p w:rsidR="00822681" w:rsidRDefault="00822681">
      <w:pPr>
        <w:spacing w:before="100" w:beforeAutospacing="1" w:after="100" w:afterAutospacing="1"/>
        <w:ind w:right="26"/>
        <w:jc w:val="both"/>
        <w:rPr>
          <w:bCs/>
          <w:szCs w:val="22"/>
          <w:u w:val="single"/>
          <w:lang w:val="en-US"/>
        </w:rPr>
      </w:pPr>
      <w:r>
        <w:rPr>
          <w:bCs/>
          <w:szCs w:val="22"/>
          <w:u w:val="single"/>
          <w:lang w:val="en-US"/>
        </w:rPr>
        <w:t>Television and Radio</w:t>
      </w:r>
    </w:p>
    <w:p w:rsidR="00822681" w:rsidRDefault="00EA19C8">
      <w:pPr>
        <w:spacing w:before="100" w:beforeAutospacing="1" w:after="100" w:afterAutospacing="1"/>
        <w:ind w:right="26"/>
        <w:jc w:val="both"/>
        <w:rPr>
          <w:szCs w:val="22"/>
          <w:lang w:val="en-US"/>
        </w:rPr>
      </w:pPr>
      <w:r>
        <w:rPr>
          <w:szCs w:val="22"/>
          <w:lang w:val="en-US"/>
        </w:rPr>
        <w:t>346.</w:t>
      </w:r>
      <w:r>
        <w:rPr>
          <w:szCs w:val="22"/>
          <w:lang w:val="en-US"/>
        </w:rPr>
        <w:tab/>
      </w:r>
      <w:r w:rsidR="00822681">
        <w:rPr>
          <w:szCs w:val="22"/>
          <w:lang w:val="en-US"/>
        </w:rPr>
        <w:t xml:space="preserve">ERT S.A. (Greek public television) undertakes significant, socially-oriented initiatives, including raising awareness among the people and the social bodies in favour of those in need, as well as activities for offering assistance to those stricken by natural disasters through raising money, goods or medicine. To implement such activities, ERT has set up a crisis management mechanism built upon ERT’s Citizen's Communication Centre (K. E. E.P.) and the Corporate Social Responsibility (CSR) group. </w:t>
      </w:r>
    </w:p>
    <w:p w:rsidR="00822681" w:rsidRDefault="00EA19C8">
      <w:pPr>
        <w:spacing w:before="100" w:beforeAutospacing="1" w:after="100" w:afterAutospacing="1"/>
        <w:ind w:right="26"/>
        <w:jc w:val="both"/>
        <w:rPr>
          <w:szCs w:val="22"/>
          <w:lang w:val="en-US"/>
        </w:rPr>
      </w:pPr>
      <w:r>
        <w:rPr>
          <w:szCs w:val="22"/>
          <w:lang w:val="en-US"/>
        </w:rPr>
        <w:t>347.</w:t>
      </w:r>
      <w:r>
        <w:rPr>
          <w:szCs w:val="22"/>
          <w:lang w:val="en-US"/>
        </w:rPr>
        <w:tab/>
      </w:r>
      <w:r w:rsidR="00822681">
        <w:rPr>
          <w:szCs w:val="22"/>
          <w:lang w:val="en-US"/>
        </w:rPr>
        <w:t xml:space="preserve">Within the context of a cooperation framework with Hellenic Non-Governmental and Non-Profit organizations, ERT S.A. has assumed the role of communications sponsor to support, highlight and promote their mission at all levels of the Greek society. In order to achieve this goal ERT S.A. has placed particular emphasis on the news coverage of NGOs’ activities (environmental, humanitarian, social, human rights), as well as spreading their social messages (spots). </w:t>
      </w:r>
    </w:p>
    <w:p w:rsidR="00822681" w:rsidRDefault="00EA19C8">
      <w:pPr>
        <w:spacing w:before="100" w:beforeAutospacing="1" w:after="100" w:afterAutospacing="1"/>
        <w:ind w:right="26"/>
        <w:jc w:val="both"/>
        <w:rPr>
          <w:szCs w:val="22"/>
          <w:lang w:val="en-US"/>
        </w:rPr>
      </w:pPr>
      <w:r>
        <w:rPr>
          <w:szCs w:val="22"/>
          <w:lang w:val="en-US"/>
        </w:rPr>
        <w:t>348.</w:t>
      </w:r>
      <w:r>
        <w:rPr>
          <w:szCs w:val="22"/>
          <w:lang w:val="en-US"/>
        </w:rPr>
        <w:tab/>
      </w:r>
      <w:r w:rsidR="00822681">
        <w:rPr>
          <w:szCs w:val="22"/>
          <w:lang w:val="en-US"/>
        </w:rPr>
        <w:t>ERT strives to promote human rights in Greek society in general and the rights of persons with disabilities and socially sensitive groups, (drug addicts, homeless etc), in particular, as well as the idea of cultural diversity against any form of racism.</w:t>
      </w:r>
    </w:p>
    <w:p w:rsidR="00822681" w:rsidRDefault="00822681">
      <w:pPr>
        <w:autoSpaceDE w:val="0"/>
        <w:autoSpaceDN w:val="0"/>
        <w:adjustRightInd w:val="0"/>
        <w:ind w:right="26"/>
        <w:jc w:val="both"/>
        <w:rPr>
          <w:b/>
          <w:lang w:val="en-US"/>
        </w:rPr>
      </w:pPr>
      <w:r>
        <w:rPr>
          <w:b/>
          <w:lang w:val="en-US"/>
        </w:rPr>
        <w:t>Preservation and presentation of humanity’s cultural heritage</w:t>
      </w:r>
    </w:p>
    <w:p w:rsidR="00822681" w:rsidRDefault="00822681">
      <w:pPr>
        <w:autoSpaceDE w:val="0"/>
        <w:autoSpaceDN w:val="0"/>
        <w:adjustRightInd w:val="0"/>
        <w:ind w:right="26"/>
        <w:jc w:val="both"/>
        <w:rPr>
          <w:lang w:val="en-US"/>
        </w:rPr>
      </w:pPr>
    </w:p>
    <w:p w:rsidR="00822681" w:rsidRDefault="00EA19C8">
      <w:pPr>
        <w:autoSpaceDE w:val="0"/>
        <w:autoSpaceDN w:val="0"/>
        <w:adjustRightInd w:val="0"/>
        <w:ind w:right="26"/>
        <w:jc w:val="both"/>
        <w:rPr>
          <w:lang w:val="en-US"/>
        </w:rPr>
      </w:pPr>
      <w:r>
        <w:rPr>
          <w:lang w:val="en-US"/>
        </w:rPr>
        <w:t>349.</w:t>
      </w:r>
      <w:r>
        <w:rPr>
          <w:lang w:val="en-US"/>
        </w:rPr>
        <w:tab/>
      </w:r>
      <w:r w:rsidR="00822681">
        <w:rPr>
          <w:lang w:val="en-US"/>
        </w:rPr>
        <w:t xml:space="preserve">The Ministry of </w:t>
      </w:r>
      <w:r w:rsidR="002D69BD">
        <w:rPr>
          <w:lang w:val="en-US"/>
        </w:rPr>
        <w:t xml:space="preserve">Education and Religious Affairs, </w:t>
      </w:r>
      <w:r w:rsidR="00822681">
        <w:rPr>
          <w:lang w:val="en-US"/>
        </w:rPr>
        <w:t>Culture</w:t>
      </w:r>
      <w:r w:rsidR="002D69BD">
        <w:rPr>
          <w:lang w:val="en-US"/>
        </w:rPr>
        <w:t xml:space="preserve"> and Sports</w:t>
      </w:r>
      <w:r w:rsidR="00822681">
        <w:rPr>
          <w:lang w:val="en-US"/>
        </w:rPr>
        <w:t xml:space="preserve">, in the framework of </w:t>
      </w:r>
      <w:r w:rsidR="002D69BD">
        <w:rPr>
          <w:lang w:val="en-US"/>
        </w:rPr>
        <w:t>promoting</w:t>
      </w:r>
      <w:r w:rsidR="00822681">
        <w:rPr>
          <w:lang w:val="en-US"/>
        </w:rPr>
        <w:t xml:space="preserve"> the protection of the cultural heritage of humanity, had declared and included in the World Heritage </w:t>
      </w:r>
      <w:r w:rsidR="00822681">
        <w:rPr>
          <w:lang w:val="en-GB"/>
        </w:rPr>
        <w:t>L</w:t>
      </w:r>
      <w:r w:rsidR="00822681">
        <w:rPr>
          <w:lang w:val="en-US"/>
        </w:rPr>
        <w:t xml:space="preserve">ist of UNESCO a number of Greek monuments as Monuments of World Heritage. The Directorate of Monument Archives keeps a documented file on the monuments since the establishment of the </w:t>
      </w:r>
      <w:smartTag w:uri="urn:schemas-microsoft-com:office:smarttags" w:element="place">
        <w:smartTag w:uri="urn:schemas-microsoft-com:office:smarttags" w:element="PlaceName">
          <w:r w:rsidR="00822681">
            <w:rPr>
              <w:lang w:val="en-US"/>
            </w:rPr>
            <w:t>Greek</w:t>
          </w:r>
        </w:smartTag>
        <w:r w:rsidR="00822681">
          <w:rPr>
            <w:lang w:val="en-US"/>
          </w:rPr>
          <w:t xml:space="preserve"> </w:t>
        </w:r>
        <w:smartTag w:uri="urn:schemas-microsoft-com:office:smarttags" w:element="PlaceType">
          <w:r w:rsidR="00822681">
            <w:rPr>
              <w:lang w:val="en-US"/>
            </w:rPr>
            <w:t>State</w:t>
          </w:r>
        </w:smartTag>
      </w:smartTag>
      <w:r w:rsidR="00822681">
        <w:rPr>
          <w:lang w:val="en-US"/>
        </w:rPr>
        <w:t xml:space="preserve">. </w:t>
      </w:r>
    </w:p>
    <w:p w:rsidR="002D69BD" w:rsidRDefault="002D69BD">
      <w:pPr>
        <w:autoSpaceDE w:val="0"/>
        <w:autoSpaceDN w:val="0"/>
        <w:adjustRightInd w:val="0"/>
        <w:ind w:right="26"/>
        <w:jc w:val="both"/>
        <w:rPr>
          <w:lang w:val="en-US"/>
        </w:rPr>
      </w:pPr>
    </w:p>
    <w:p w:rsidR="00822681" w:rsidRDefault="00EA19C8">
      <w:pPr>
        <w:ind w:right="26"/>
        <w:jc w:val="both"/>
        <w:rPr>
          <w:iCs/>
          <w:szCs w:val="28"/>
          <w:lang w:val="en-US"/>
        </w:rPr>
      </w:pPr>
      <w:r>
        <w:rPr>
          <w:lang w:val="en-US"/>
        </w:rPr>
        <w:t>350.</w:t>
      </w:r>
      <w:r>
        <w:rPr>
          <w:lang w:val="en-US"/>
        </w:rPr>
        <w:tab/>
      </w:r>
      <w:r w:rsidR="002D69BD" w:rsidRPr="00DB52BE">
        <w:rPr>
          <w:lang w:val="en-US"/>
        </w:rPr>
        <w:t xml:space="preserve">Among the relevant initiatives in this field, the following should be mentioned: </w:t>
      </w:r>
      <w:r w:rsidR="00822681" w:rsidRPr="00DB52BE">
        <w:rPr>
          <w:bCs/>
          <w:iCs/>
          <w:lang w:val="en-US"/>
        </w:rPr>
        <w:t>European Heritage Label</w:t>
      </w:r>
      <w:r w:rsidR="002D69BD" w:rsidRPr="00DB52BE">
        <w:rPr>
          <w:bCs/>
          <w:iCs/>
          <w:lang w:val="en-US"/>
        </w:rPr>
        <w:t xml:space="preserve">, </w:t>
      </w:r>
      <w:r w:rsidR="00822681" w:rsidRPr="00DB52BE">
        <w:rPr>
          <w:iCs/>
          <w:szCs w:val="28"/>
          <w:lang w:val="en-US"/>
        </w:rPr>
        <w:t>European Program for the Preventive Archaeology</w:t>
      </w:r>
      <w:r w:rsidR="002D69BD" w:rsidRPr="00DB52BE">
        <w:rPr>
          <w:iCs/>
          <w:szCs w:val="28"/>
          <w:lang w:val="en-US"/>
        </w:rPr>
        <w:t xml:space="preserve">, </w:t>
      </w:r>
      <w:r w:rsidR="00822681" w:rsidRPr="00DB52BE">
        <w:rPr>
          <w:iCs/>
          <w:szCs w:val="28"/>
          <w:lang w:val="en-US"/>
        </w:rPr>
        <w:t>European Program Mediterranean Gothic (2004-2007),</w:t>
      </w:r>
      <w:r w:rsidR="00822681" w:rsidRPr="00DB52BE">
        <w:rPr>
          <w:szCs w:val="28"/>
          <w:lang w:val="en-US"/>
        </w:rPr>
        <w:t xml:space="preserve"> </w:t>
      </w:r>
      <w:r w:rsidR="00822681" w:rsidRPr="00DB52BE">
        <w:rPr>
          <w:iCs/>
          <w:szCs w:val="28"/>
          <w:lang w:val="en-US"/>
        </w:rPr>
        <w:t>Network HEREIN (European Heritage Net)</w:t>
      </w:r>
      <w:r w:rsidR="002D69BD" w:rsidRPr="00DB52BE">
        <w:rPr>
          <w:iCs/>
          <w:szCs w:val="28"/>
          <w:lang w:val="en-US"/>
        </w:rPr>
        <w:t xml:space="preserve">, </w:t>
      </w:r>
      <w:r w:rsidR="00822681" w:rsidRPr="00DB52BE">
        <w:rPr>
          <w:iCs/>
          <w:szCs w:val="28"/>
          <w:lang w:val="en-US"/>
        </w:rPr>
        <w:t>“Cultural Egnatia”</w:t>
      </w:r>
      <w:r w:rsidR="002D69BD" w:rsidRPr="00DB52BE">
        <w:rPr>
          <w:iCs/>
          <w:szCs w:val="28"/>
          <w:lang w:val="en-US"/>
        </w:rPr>
        <w:t xml:space="preserve"> (</w:t>
      </w:r>
      <w:r w:rsidR="00822681" w:rsidRPr="00DB52BE">
        <w:rPr>
          <w:szCs w:val="28"/>
          <w:lang w:val="en-US"/>
        </w:rPr>
        <w:t xml:space="preserve">enhancement of monuments </w:t>
      </w:r>
      <w:r w:rsidR="002D69BD" w:rsidRPr="00DB52BE">
        <w:rPr>
          <w:szCs w:val="28"/>
          <w:lang w:val="en-US"/>
        </w:rPr>
        <w:t xml:space="preserve">in the </w:t>
      </w:r>
      <w:r w:rsidR="00822681" w:rsidRPr="00DB52BE">
        <w:rPr>
          <w:szCs w:val="28"/>
          <w:lang w:val="en-US"/>
        </w:rPr>
        <w:t>regions of Epirus, Macedonia, Thrace in Greece)</w:t>
      </w:r>
      <w:r w:rsidR="002D69BD" w:rsidRPr="00DB52BE">
        <w:rPr>
          <w:szCs w:val="28"/>
          <w:lang w:val="en-US"/>
        </w:rPr>
        <w:t xml:space="preserve">, </w:t>
      </w:r>
      <w:r w:rsidR="00822681" w:rsidRPr="00DB52BE">
        <w:rPr>
          <w:iCs/>
          <w:szCs w:val="28"/>
          <w:lang w:val="en-US"/>
        </w:rPr>
        <w:t>ARCHIMED</w:t>
      </w:r>
      <w:r w:rsidR="002D69BD" w:rsidRPr="00DB52BE">
        <w:rPr>
          <w:iCs/>
          <w:szCs w:val="28"/>
          <w:lang w:val="en-US"/>
        </w:rPr>
        <w:t xml:space="preserve">, </w:t>
      </w:r>
      <w:r w:rsidR="00822681" w:rsidRPr="00DB52BE">
        <w:rPr>
          <w:iCs/>
          <w:szCs w:val="28"/>
          <w:lang w:val="en-US"/>
        </w:rPr>
        <w:t>Egeria</w:t>
      </w:r>
      <w:r w:rsidR="002D69BD" w:rsidRPr="00DB52BE">
        <w:rPr>
          <w:iCs/>
          <w:szCs w:val="28"/>
          <w:lang w:val="en-US"/>
        </w:rPr>
        <w:t xml:space="preserve">, </w:t>
      </w:r>
      <w:r w:rsidR="00822681" w:rsidRPr="00DB52BE">
        <w:rPr>
          <w:szCs w:val="28"/>
          <w:lang w:val="en-US"/>
        </w:rPr>
        <w:t>Calendar edition about the Byzantine and Post-Byzantine monuments of Global Heritage (2008)</w:t>
      </w:r>
      <w:r w:rsidR="00DB52BE">
        <w:rPr>
          <w:szCs w:val="28"/>
          <w:lang w:val="en-US"/>
        </w:rPr>
        <w:t xml:space="preserve">, edition of </w:t>
      </w:r>
      <w:r w:rsidR="00822681" w:rsidRPr="00DB52BE">
        <w:rPr>
          <w:szCs w:val="28"/>
          <w:lang w:val="en-US"/>
        </w:rPr>
        <w:t>a volume entitled “The Ottoman Architecture in Greece”</w:t>
      </w:r>
      <w:r w:rsidR="00DB52BE" w:rsidRPr="00DB52BE">
        <w:rPr>
          <w:szCs w:val="28"/>
          <w:lang w:val="en-US"/>
        </w:rPr>
        <w:t xml:space="preserve">, </w:t>
      </w:r>
      <w:r w:rsidR="00822681" w:rsidRPr="00DB52BE">
        <w:rPr>
          <w:iCs/>
          <w:szCs w:val="28"/>
          <w:lang w:val="en-US"/>
        </w:rPr>
        <w:t xml:space="preserve">Programming Conventions </w:t>
      </w:r>
      <w:r w:rsidR="00DB52BE" w:rsidRPr="00DB52BE">
        <w:rPr>
          <w:iCs/>
          <w:szCs w:val="28"/>
          <w:lang w:val="en-US"/>
        </w:rPr>
        <w:t xml:space="preserve">on </w:t>
      </w:r>
      <w:r w:rsidR="00DB52BE" w:rsidRPr="00DB52BE">
        <w:rPr>
          <w:szCs w:val="28"/>
          <w:lang w:val="en-US"/>
        </w:rPr>
        <w:t>the conservation and enhancement of the old city in different</w:t>
      </w:r>
      <w:r w:rsidR="00822681" w:rsidRPr="00DB52BE">
        <w:rPr>
          <w:iCs/>
          <w:szCs w:val="28"/>
          <w:lang w:val="en-US"/>
        </w:rPr>
        <w:t xml:space="preserve"> Municipalities</w:t>
      </w:r>
      <w:r w:rsidR="00DB52BE">
        <w:rPr>
          <w:iCs/>
          <w:szCs w:val="28"/>
          <w:lang w:val="en-US"/>
        </w:rPr>
        <w:t>, etc.</w:t>
      </w:r>
    </w:p>
    <w:p w:rsidR="00DB52BE" w:rsidRPr="00DB52BE" w:rsidRDefault="00DB52BE">
      <w:pPr>
        <w:ind w:right="26"/>
        <w:jc w:val="both"/>
        <w:rPr>
          <w:b/>
          <w:lang w:val="en-US"/>
        </w:rPr>
      </w:pPr>
    </w:p>
    <w:p w:rsidR="00822681" w:rsidRDefault="00822681">
      <w:pPr>
        <w:autoSpaceDE w:val="0"/>
        <w:autoSpaceDN w:val="0"/>
        <w:adjustRightInd w:val="0"/>
        <w:ind w:right="26"/>
        <w:jc w:val="both"/>
        <w:rPr>
          <w:b/>
          <w:lang w:val="en-US"/>
        </w:rPr>
      </w:pPr>
      <w:r>
        <w:rPr>
          <w:b/>
          <w:lang w:val="en-US"/>
        </w:rPr>
        <w:t>Other measures for the conservation, development and diffusion of culture</w:t>
      </w:r>
    </w:p>
    <w:p w:rsidR="00822681" w:rsidRDefault="00822681">
      <w:pPr>
        <w:autoSpaceDE w:val="0"/>
        <w:autoSpaceDN w:val="0"/>
        <w:adjustRightInd w:val="0"/>
        <w:ind w:right="26"/>
        <w:jc w:val="both"/>
        <w:rPr>
          <w:b/>
          <w:lang w:val="en-US"/>
        </w:rPr>
      </w:pPr>
    </w:p>
    <w:p w:rsidR="00822681" w:rsidRDefault="00EA19C8">
      <w:pPr>
        <w:autoSpaceDE w:val="0"/>
        <w:autoSpaceDN w:val="0"/>
        <w:adjustRightInd w:val="0"/>
        <w:ind w:right="26"/>
        <w:jc w:val="both"/>
        <w:rPr>
          <w:lang w:val="en-US"/>
        </w:rPr>
      </w:pPr>
      <w:r>
        <w:rPr>
          <w:lang w:val="en-US"/>
        </w:rPr>
        <w:t>351.</w:t>
      </w:r>
      <w:r>
        <w:rPr>
          <w:lang w:val="en-US"/>
        </w:rPr>
        <w:tab/>
      </w:r>
      <w:r w:rsidR="00822681">
        <w:rPr>
          <w:lang w:val="en-US"/>
        </w:rPr>
        <w:t xml:space="preserve">Within the framework of copyright protection, the Hellenic Copyright Organization </w:t>
      </w:r>
      <w:r w:rsidR="00DB52BE">
        <w:rPr>
          <w:lang w:val="en-US"/>
        </w:rPr>
        <w:t xml:space="preserve">(OPI) </w:t>
      </w:r>
      <w:r w:rsidR="00822681">
        <w:rPr>
          <w:lang w:val="en-US"/>
        </w:rPr>
        <w:t xml:space="preserve">supervises the operation of the system for protecting the authors and the </w:t>
      </w:r>
      <w:r w:rsidR="00DB52BE">
        <w:rPr>
          <w:lang w:val="en-US"/>
        </w:rPr>
        <w:t>related rightholders</w:t>
      </w:r>
      <w:r w:rsidR="00822681">
        <w:rPr>
          <w:lang w:val="en-US"/>
        </w:rPr>
        <w:t>; safeguards the rights of the users and the public; balances the interests of copyright sectors with those of industrial property sectors; incorporates and adjusts in Greece the latest evolutions at community and international level, contributing in this way to the promotion of creativity and culture.</w:t>
      </w:r>
    </w:p>
    <w:p w:rsidR="00822681" w:rsidRDefault="00822681">
      <w:pPr>
        <w:autoSpaceDE w:val="0"/>
        <w:autoSpaceDN w:val="0"/>
        <w:adjustRightInd w:val="0"/>
        <w:ind w:right="26"/>
        <w:jc w:val="both"/>
        <w:rPr>
          <w:lang w:val="en-US"/>
        </w:rPr>
      </w:pPr>
    </w:p>
    <w:p w:rsidR="00822681" w:rsidRDefault="00EA19C8">
      <w:pPr>
        <w:autoSpaceDE w:val="0"/>
        <w:autoSpaceDN w:val="0"/>
        <w:adjustRightInd w:val="0"/>
        <w:ind w:right="26"/>
        <w:jc w:val="both"/>
        <w:rPr>
          <w:lang w:val="en-US"/>
        </w:rPr>
      </w:pPr>
      <w:r>
        <w:rPr>
          <w:lang w:val="en-US"/>
        </w:rPr>
        <w:t>352.</w:t>
      </w:r>
      <w:r>
        <w:rPr>
          <w:lang w:val="en-US"/>
        </w:rPr>
        <w:tab/>
      </w:r>
      <w:r w:rsidR="00822681">
        <w:rPr>
          <w:lang w:val="en-US"/>
        </w:rPr>
        <w:t xml:space="preserve">The </w:t>
      </w:r>
      <w:r w:rsidR="00DB52BE">
        <w:rPr>
          <w:lang w:val="en-US"/>
        </w:rPr>
        <w:t xml:space="preserve">relevant </w:t>
      </w:r>
      <w:r w:rsidR="00822681">
        <w:rPr>
          <w:lang w:val="en-US"/>
        </w:rPr>
        <w:t xml:space="preserve">Greek legislation reflects all modern trends expressed in the national legislations of mainly European States, and its law </w:t>
      </w:r>
      <w:r w:rsidR="00DB52BE">
        <w:rPr>
          <w:lang w:val="en-US"/>
        </w:rPr>
        <w:t>has been</w:t>
      </w:r>
      <w:r w:rsidR="00822681">
        <w:rPr>
          <w:lang w:val="en-US"/>
        </w:rPr>
        <w:t xml:space="preserve"> harmonized with </w:t>
      </w:r>
      <w:r w:rsidR="00DB52BE">
        <w:rPr>
          <w:lang w:val="en-US"/>
        </w:rPr>
        <w:t>EU</w:t>
      </w:r>
      <w:r w:rsidR="00822681">
        <w:rPr>
          <w:lang w:val="en-US"/>
        </w:rPr>
        <w:t xml:space="preserve"> Directives.</w:t>
      </w:r>
      <w:r w:rsidR="00DB52BE">
        <w:rPr>
          <w:lang w:val="en-US"/>
        </w:rPr>
        <w:t xml:space="preserve"> Moreover, </w:t>
      </w:r>
      <w:r w:rsidR="00822681">
        <w:rPr>
          <w:lang w:val="en-US"/>
        </w:rPr>
        <w:t xml:space="preserve">Greece has ratified almost all international conventions, particularly the five main conventions providing for international protection. </w:t>
      </w:r>
    </w:p>
    <w:p w:rsidR="00822681" w:rsidRDefault="00822681">
      <w:pPr>
        <w:autoSpaceDE w:val="0"/>
        <w:autoSpaceDN w:val="0"/>
        <w:adjustRightInd w:val="0"/>
        <w:ind w:right="26"/>
        <w:jc w:val="both"/>
        <w:rPr>
          <w:b/>
          <w:bCs/>
          <w:lang w:val="en-US"/>
        </w:rPr>
      </w:pPr>
    </w:p>
    <w:p w:rsidR="00822681" w:rsidRDefault="00EA19C8">
      <w:pPr>
        <w:autoSpaceDE w:val="0"/>
        <w:autoSpaceDN w:val="0"/>
        <w:adjustRightInd w:val="0"/>
        <w:ind w:right="26"/>
        <w:jc w:val="both"/>
        <w:rPr>
          <w:lang w:val="en-US"/>
        </w:rPr>
      </w:pPr>
      <w:r>
        <w:rPr>
          <w:lang w:val="en-US"/>
        </w:rPr>
        <w:t>353.</w:t>
      </w:r>
      <w:r>
        <w:rPr>
          <w:lang w:val="en-US"/>
        </w:rPr>
        <w:tab/>
      </w:r>
      <w:r w:rsidR="00822681">
        <w:rPr>
          <w:lang w:val="en-US"/>
        </w:rPr>
        <w:t xml:space="preserve">Recently OPI has prepared a ministerial decision, on the Reproduction of copyrighted work for the benefit of the blind and the deaf-mute and extension of the arrangement to other categories of </w:t>
      </w:r>
      <w:r w:rsidR="00DB52BE">
        <w:rPr>
          <w:lang w:val="en-US"/>
        </w:rPr>
        <w:t>persons</w:t>
      </w:r>
      <w:r w:rsidR="00822681">
        <w:rPr>
          <w:lang w:val="en-US"/>
        </w:rPr>
        <w:t xml:space="preserve"> with disabilities.  </w:t>
      </w:r>
    </w:p>
    <w:p w:rsidR="00822681" w:rsidRDefault="00822681">
      <w:pPr>
        <w:ind w:right="26"/>
        <w:jc w:val="both"/>
        <w:rPr>
          <w:lang w:val="en-US"/>
        </w:rPr>
      </w:pPr>
    </w:p>
    <w:p w:rsidR="00822681" w:rsidRDefault="00822681">
      <w:pPr>
        <w:ind w:right="26"/>
        <w:jc w:val="both"/>
        <w:rPr>
          <w:b/>
          <w:lang w:val="en-US"/>
        </w:rPr>
      </w:pPr>
      <w:r>
        <w:rPr>
          <w:b/>
          <w:lang w:val="en-US"/>
        </w:rPr>
        <w:t>Steps and measures taken to assure the conservation, development and dissemination of science and culture</w:t>
      </w:r>
    </w:p>
    <w:p w:rsidR="00822681" w:rsidRDefault="00822681">
      <w:pPr>
        <w:ind w:right="26"/>
        <w:jc w:val="both"/>
        <w:rPr>
          <w:b/>
          <w:lang w:val="en-US"/>
        </w:rPr>
      </w:pPr>
    </w:p>
    <w:p w:rsidR="00822681" w:rsidRDefault="00EA19C8">
      <w:pPr>
        <w:autoSpaceDE w:val="0"/>
        <w:autoSpaceDN w:val="0"/>
        <w:adjustRightInd w:val="0"/>
        <w:ind w:right="26"/>
        <w:jc w:val="both"/>
        <w:rPr>
          <w:bCs/>
          <w:lang w:val="en-US"/>
        </w:rPr>
      </w:pPr>
      <w:r>
        <w:rPr>
          <w:lang w:val="en-US"/>
        </w:rPr>
        <w:t>354.</w:t>
      </w:r>
      <w:r>
        <w:rPr>
          <w:lang w:val="en-US"/>
        </w:rPr>
        <w:tab/>
      </w:r>
      <w:r w:rsidR="00DB52BE">
        <w:rPr>
          <w:lang w:val="en-US"/>
        </w:rPr>
        <w:t>T</w:t>
      </w:r>
      <w:r w:rsidR="00822681">
        <w:rPr>
          <w:lang w:val="en-US"/>
        </w:rPr>
        <w:t>he Greek Cultural Heritage Promotion and Dissemination Society, finances a very wide range of actions to promote and present Greek culture in Greece and abroad, as well as the message of peace, conciliation, and noble competition between creators or new scientists. Additionally, Law</w:t>
      </w:r>
      <w:r w:rsidR="00822681">
        <w:rPr>
          <w:b/>
          <w:bCs/>
          <w:lang w:val="en-US"/>
        </w:rPr>
        <w:t xml:space="preserve"> </w:t>
      </w:r>
      <w:r w:rsidR="00822681">
        <w:rPr>
          <w:lang w:val="en-US"/>
        </w:rPr>
        <w:t>3525/2007 on the Cultural Sponsorship</w:t>
      </w:r>
      <w:r w:rsidR="00822681">
        <w:rPr>
          <w:b/>
          <w:bCs/>
          <w:lang w:val="en-US"/>
        </w:rPr>
        <w:t xml:space="preserve">, </w:t>
      </w:r>
      <w:r w:rsidR="00822681">
        <w:rPr>
          <w:lang w:val="en-US"/>
        </w:rPr>
        <w:t xml:space="preserve">offers </w:t>
      </w:r>
      <w:r w:rsidR="00822681">
        <w:rPr>
          <w:bCs/>
          <w:lang w:val="en-US"/>
        </w:rPr>
        <w:t>moral rewards and incentives</w:t>
      </w:r>
      <w:r w:rsidR="00822681">
        <w:rPr>
          <w:b/>
          <w:lang w:val="en-US"/>
        </w:rPr>
        <w:t xml:space="preserve"> </w:t>
      </w:r>
      <w:r w:rsidR="00822681">
        <w:rPr>
          <w:bCs/>
          <w:lang w:val="en-US"/>
        </w:rPr>
        <w:t xml:space="preserve">in order to encourage </w:t>
      </w:r>
      <w:r w:rsidR="00DB52BE">
        <w:rPr>
          <w:bCs/>
          <w:lang w:val="en-US"/>
        </w:rPr>
        <w:t>potential</w:t>
      </w:r>
      <w:r w:rsidR="00822681">
        <w:rPr>
          <w:bCs/>
          <w:lang w:val="en-US"/>
        </w:rPr>
        <w:t xml:space="preserve"> sponsors.</w:t>
      </w:r>
    </w:p>
    <w:p w:rsidR="00822681" w:rsidRDefault="00822681">
      <w:pPr>
        <w:ind w:right="26"/>
        <w:jc w:val="both"/>
        <w:rPr>
          <w:bCs/>
          <w:lang w:val="en-US"/>
        </w:rPr>
      </w:pPr>
    </w:p>
    <w:p w:rsidR="00822681" w:rsidRDefault="00822681">
      <w:pPr>
        <w:ind w:right="26"/>
        <w:jc w:val="both"/>
        <w:rPr>
          <w:b/>
          <w:bCs/>
          <w:lang w:val="en-US"/>
        </w:rPr>
      </w:pPr>
      <w:r>
        <w:rPr>
          <w:b/>
          <w:bCs/>
          <w:lang w:val="en-US"/>
        </w:rPr>
        <w:t xml:space="preserve">Other practical measures </w:t>
      </w:r>
    </w:p>
    <w:p w:rsidR="00822681" w:rsidRDefault="00822681">
      <w:pPr>
        <w:ind w:right="26"/>
        <w:jc w:val="both"/>
        <w:rPr>
          <w:b/>
          <w:bCs/>
          <w:lang w:val="en-US"/>
        </w:rPr>
      </w:pPr>
    </w:p>
    <w:p w:rsidR="00822681" w:rsidRPr="00405628" w:rsidRDefault="00EA19C8" w:rsidP="00405628">
      <w:pPr>
        <w:autoSpaceDE w:val="0"/>
        <w:autoSpaceDN w:val="0"/>
        <w:adjustRightInd w:val="0"/>
        <w:ind w:right="26"/>
        <w:jc w:val="both"/>
        <w:rPr>
          <w:b/>
          <w:bCs/>
          <w:lang w:val="en-US"/>
        </w:rPr>
      </w:pPr>
      <w:r>
        <w:rPr>
          <w:lang w:val="en-US"/>
        </w:rPr>
        <w:t>355.</w:t>
      </w:r>
      <w:r>
        <w:rPr>
          <w:lang w:val="en-US"/>
        </w:rPr>
        <w:tab/>
      </w:r>
      <w:r w:rsidR="00822681">
        <w:rPr>
          <w:lang w:val="en-US"/>
        </w:rPr>
        <w:t>Through membership in the competent bodies of international organizations (European Union, UNESCO, Council of Europe, International Centre for the Study of the Preservation and Restoration of Cultural Property, International Council of Museums, International Council on Museums and Sites) and of regional cooperation (Euro-Mediterranean Barcelona Process, Adriatic and Ionian Initiative, Council of Ministers of Culture of South East Europe, Black Se</w:t>
      </w:r>
      <w:r w:rsidR="00822681">
        <w:rPr>
          <w:lang w:val="en-GB"/>
        </w:rPr>
        <w:t>a</w:t>
      </w:r>
      <w:r w:rsidR="00822681">
        <w:rPr>
          <w:lang w:val="en-US"/>
        </w:rPr>
        <w:t xml:space="preserve"> Economic Cooperation, Summit of the Head of States of South East Europe, Annual Ministerial Conference on Cultural Heritage on the topic “Cultural Heritage-a Bridge towards a Shared Future”), the Ministry of </w:t>
      </w:r>
      <w:r w:rsidR="00DB52BE">
        <w:rPr>
          <w:lang w:val="en-US"/>
        </w:rPr>
        <w:t xml:space="preserve">Education and Religious Affairs, </w:t>
      </w:r>
      <w:r w:rsidR="00822681">
        <w:rPr>
          <w:lang w:val="en-US"/>
        </w:rPr>
        <w:t xml:space="preserve">Culture and </w:t>
      </w:r>
      <w:r w:rsidR="00DB52BE">
        <w:rPr>
          <w:lang w:val="en-US"/>
        </w:rPr>
        <w:t>Sports</w:t>
      </w:r>
      <w:r w:rsidR="00822681">
        <w:rPr>
          <w:lang w:val="en-US"/>
        </w:rPr>
        <w:t xml:space="preserve"> participates in multilateral cultural programmes and develops international and regional cooperation and dialogue, which reinforce exchanges in every cultural sector. Through such cooperation, it encourages cultural bodies and private citizens to participate in the international cultural life.  </w:t>
      </w:r>
    </w:p>
    <w:sectPr w:rsidR="00822681" w:rsidRPr="00405628">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BA" w:rsidRDefault="00EC1EBA">
      <w:r>
        <w:separator/>
      </w:r>
    </w:p>
  </w:endnote>
  <w:endnote w:type="continuationSeparator" w:id="0">
    <w:p w:rsidR="00EC1EBA" w:rsidRDefault="00EC1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Microsoft Sans Serif">
    <w:panose1 w:val="020B0604020202020204"/>
    <w:charset w:val="A1"/>
    <w:family w:val="swiss"/>
    <w:pitch w:val="variable"/>
    <w:sig w:usb0="61002BDF" w:usb1="80000000" w:usb2="00000008" w:usb3="00000000" w:csb0="0001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13" w:rsidRDefault="00C03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03113" w:rsidRDefault="00C03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13" w:rsidRDefault="00C03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87F">
      <w:rPr>
        <w:rStyle w:val="PageNumber"/>
        <w:noProof/>
      </w:rPr>
      <w:t>62</w:t>
    </w:r>
    <w:r>
      <w:rPr>
        <w:rStyle w:val="PageNumber"/>
      </w:rPr>
      <w:fldChar w:fldCharType="end"/>
    </w:r>
  </w:p>
  <w:p w:rsidR="00C03113" w:rsidRDefault="00C03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BA" w:rsidRDefault="00EC1EBA">
      <w:r>
        <w:separator/>
      </w:r>
    </w:p>
  </w:footnote>
  <w:footnote w:type="continuationSeparator" w:id="0">
    <w:p w:rsidR="00EC1EBA" w:rsidRDefault="00EC1EBA">
      <w:r>
        <w:continuationSeparator/>
      </w:r>
    </w:p>
  </w:footnote>
  <w:footnote w:id="1">
    <w:p w:rsidR="00C03113" w:rsidRPr="00012728" w:rsidRDefault="00C03113" w:rsidP="00012728">
      <w:pPr>
        <w:pStyle w:val="FootnoteText"/>
        <w:jc w:val="both"/>
        <w:rPr>
          <w:rFonts w:ascii="Times New Roman" w:hAnsi="Times New Roman"/>
          <w:sz w:val="22"/>
          <w:szCs w:val="22"/>
          <w:lang w:val="en-US"/>
        </w:rPr>
      </w:pPr>
      <w:r w:rsidRPr="00012728">
        <w:rPr>
          <w:rStyle w:val="FootnoteReference"/>
          <w:sz w:val="22"/>
          <w:szCs w:val="22"/>
        </w:rPr>
        <w:footnoteRef/>
      </w:r>
      <w:r w:rsidRPr="00012728">
        <w:rPr>
          <w:rFonts w:ascii="Times New Roman" w:hAnsi="Times New Roman"/>
          <w:sz w:val="22"/>
          <w:szCs w:val="22"/>
          <w:lang w:val="en-GB"/>
        </w:rPr>
        <w:t xml:space="preserve"> The implementation of the 2011 ERF Annual Programme is still in progress. </w:t>
      </w:r>
      <w:r w:rsidRPr="00012728">
        <w:rPr>
          <w:rFonts w:ascii="Times New Roman" w:hAnsi="Times New Roman"/>
          <w:sz w:val="22"/>
          <w:szCs w:val="22"/>
          <w:lang w:val="en-US"/>
        </w:rPr>
        <w:t xml:space="preserve">The above numbers account for the financial amount absorbed up to now. </w:t>
      </w:r>
    </w:p>
    <w:p w:rsidR="00C03113" w:rsidRPr="00012728" w:rsidRDefault="00C03113" w:rsidP="00012728">
      <w:pPr>
        <w:pStyle w:val="FootnoteText"/>
        <w:jc w:val="both"/>
        <w:rPr>
          <w:rFonts w:ascii="Times New Roman" w:hAnsi="Times New Roman"/>
          <w:sz w:val="22"/>
          <w:szCs w:val="22"/>
          <w:lang w:val="en-US"/>
        </w:rPr>
      </w:pPr>
    </w:p>
  </w:footnote>
  <w:footnote w:id="2">
    <w:p w:rsidR="00C03113" w:rsidRPr="00012728" w:rsidRDefault="00C03113" w:rsidP="00012728">
      <w:pPr>
        <w:pStyle w:val="FootnoteText"/>
        <w:jc w:val="both"/>
        <w:rPr>
          <w:rFonts w:ascii="Times New Roman" w:hAnsi="Times New Roman"/>
          <w:sz w:val="22"/>
          <w:szCs w:val="22"/>
          <w:lang w:val="en-US"/>
        </w:rPr>
      </w:pPr>
      <w:r w:rsidRPr="00012728">
        <w:rPr>
          <w:rStyle w:val="FootnoteReference"/>
          <w:sz w:val="22"/>
          <w:szCs w:val="22"/>
        </w:rPr>
        <w:footnoteRef/>
      </w:r>
      <w:r w:rsidRPr="00012728">
        <w:rPr>
          <w:rFonts w:ascii="Times New Roman" w:hAnsi="Times New Roman"/>
          <w:sz w:val="22"/>
          <w:szCs w:val="22"/>
          <w:lang w:val="en-GB"/>
        </w:rPr>
        <w:t xml:space="preserve"> </w:t>
      </w:r>
      <w:r w:rsidRPr="00012728">
        <w:rPr>
          <w:rFonts w:ascii="Times New Roman" w:hAnsi="Times New Roman"/>
          <w:sz w:val="22"/>
          <w:szCs w:val="22"/>
          <w:lang w:val="en-US"/>
        </w:rPr>
        <w:t xml:space="preserve">The implementation of 2011Emergency Measures is still in progress. The above numbers account for the financial amount absored up to now. </w:t>
      </w:r>
    </w:p>
  </w:footnote>
  <w:footnote w:id="3">
    <w:p w:rsidR="00C03113" w:rsidRPr="00012728" w:rsidRDefault="00C03113" w:rsidP="00012728">
      <w:pPr>
        <w:pStyle w:val="FootnoteText"/>
        <w:jc w:val="both"/>
        <w:rPr>
          <w:rFonts w:ascii="Times New Roman" w:hAnsi="Times New Roman"/>
          <w:sz w:val="22"/>
          <w:szCs w:val="22"/>
          <w:lang w:val="en-US"/>
        </w:rPr>
      </w:pPr>
      <w:r w:rsidRPr="00012728">
        <w:rPr>
          <w:rStyle w:val="FootnoteReference"/>
          <w:sz w:val="22"/>
          <w:szCs w:val="22"/>
        </w:rPr>
        <w:footnoteRef/>
      </w:r>
      <w:r w:rsidRPr="00012728">
        <w:rPr>
          <w:rFonts w:ascii="Times New Roman" w:hAnsi="Times New Roman"/>
          <w:sz w:val="22"/>
          <w:szCs w:val="22"/>
          <w:lang w:val="en-GB"/>
        </w:rPr>
        <w:t xml:space="preserve"> </w:t>
      </w:r>
      <w:r w:rsidRPr="00012728">
        <w:rPr>
          <w:rFonts w:ascii="Times New Roman" w:hAnsi="Times New Roman"/>
          <w:sz w:val="22"/>
          <w:szCs w:val="22"/>
          <w:lang w:val="en-US"/>
        </w:rPr>
        <w:t>Joint Ministerial Decision 33165/23.06.2006 of the Ministers of Interior, Economy and Finance (OG780/B).</w:t>
      </w:r>
    </w:p>
  </w:footnote>
  <w:footnote w:id="4">
    <w:p w:rsidR="00C03113" w:rsidRPr="00012728" w:rsidRDefault="00C03113" w:rsidP="00012728">
      <w:pPr>
        <w:pStyle w:val="FootnoteText"/>
        <w:jc w:val="both"/>
        <w:rPr>
          <w:rFonts w:ascii="Times New Roman" w:hAnsi="Times New Roman"/>
          <w:sz w:val="22"/>
          <w:szCs w:val="22"/>
          <w:lang w:val="en-GB"/>
        </w:rPr>
      </w:pPr>
      <w:r w:rsidRPr="00012728">
        <w:rPr>
          <w:rStyle w:val="FootnoteReference"/>
          <w:sz w:val="22"/>
          <w:szCs w:val="22"/>
        </w:rPr>
        <w:footnoteRef/>
      </w:r>
      <w:r w:rsidRPr="00012728">
        <w:rPr>
          <w:rFonts w:ascii="Times New Roman" w:hAnsi="Times New Roman"/>
          <w:sz w:val="22"/>
          <w:szCs w:val="22"/>
          <w:lang w:val="en-GB"/>
        </w:rPr>
        <w:t xml:space="preserve"> </w:t>
      </w:r>
      <w:r w:rsidRPr="00012728">
        <w:rPr>
          <w:rFonts w:ascii="Times New Roman" w:hAnsi="Times New Roman"/>
          <w:sz w:val="22"/>
          <w:szCs w:val="22"/>
          <w:lang w:val="en-US"/>
        </w:rPr>
        <w:t>The term is used in the sense of their need to have effective access to the rights deriving from the specific project.</w:t>
      </w:r>
    </w:p>
  </w:footnote>
  <w:footnote w:id="5">
    <w:p w:rsidR="00C03113" w:rsidRPr="00012728" w:rsidRDefault="00C03113" w:rsidP="00012728">
      <w:pPr>
        <w:spacing w:before="120" w:after="120"/>
        <w:jc w:val="both"/>
        <w:rPr>
          <w:rFonts w:eastAsia="Verdana"/>
          <w:sz w:val="22"/>
          <w:szCs w:val="22"/>
          <w:lang w:val="en-GB"/>
        </w:rPr>
      </w:pPr>
      <w:r w:rsidRPr="00012728">
        <w:rPr>
          <w:rStyle w:val="FootnoteReference"/>
          <w:sz w:val="22"/>
          <w:szCs w:val="22"/>
        </w:rPr>
        <w:footnoteRef/>
      </w:r>
      <w:r w:rsidRPr="00012728">
        <w:rPr>
          <w:sz w:val="22"/>
          <w:szCs w:val="22"/>
          <w:lang w:val="en-GB"/>
        </w:rPr>
        <w:t xml:space="preserve"> </w:t>
      </w:r>
      <w:r w:rsidRPr="00012728">
        <w:rPr>
          <w:rFonts w:eastAsia="Verdana"/>
          <w:sz w:val="22"/>
          <w:szCs w:val="22"/>
          <w:lang w:val="en-GB"/>
        </w:rPr>
        <w:t>As regards the elimination of unlawful evictions, the Ministry of Interior placed a concrete proposal during the drafting of the new Strategy Framework, particularly within the course of supportive legislative measures to be adopted for assisting and also improving the implementation of individual projects to be undertaken. The scheme under examination proposes the adoption of concrete procedural guarantees in terms of adequate prior notice, provision of alternative settlement, consultation with those affected, respect of possible extreme conditions, as well as that an eviction is treated as a last resort. The overall context will be further elaborated in cooperation with the competent Ministries, particularly with regard to additional legal remedies or the improvement of accessibility to those existing.</w:t>
      </w:r>
    </w:p>
  </w:footnote>
  <w:footnote w:id="6">
    <w:p w:rsidR="00C03113" w:rsidRPr="00012728" w:rsidRDefault="00C03113" w:rsidP="00012728">
      <w:pPr>
        <w:pStyle w:val="FootnoteText"/>
        <w:jc w:val="both"/>
        <w:rPr>
          <w:rFonts w:ascii="Times New Roman" w:hAnsi="Times New Roman"/>
          <w:sz w:val="22"/>
          <w:szCs w:val="22"/>
          <w:lang w:val="en-GB"/>
        </w:rPr>
      </w:pPr>
      <w:r w:rsidRPr="00012728">
        <w:rPr>
          <w:rStyle w:val="FootnoteReference"/>
          <w:sz w:val="22"/>
          <w:szCs w:val="22"/>
        </w:rPr>
        <w:footnoteRef/>
      </w:r>
      <w:r w:rsidRPr="00012728">
        <w:rPr>
          <w:rFonts w:ascii="Times New Roman" w:hAnsi="Times New Roman"/>
          <w:sz w:val="22"/>
          <w:szCs w:val="22"/>
          <w:lang w:val="en-GB"/>
        </w:rPr>
        <w:t xml:space="preserve"> </w:t>
      </w:r>
      <w:r w:rsidRPr="00012728">
        <w:rPr>
          <w:rStyle w:val="FootnoteCharacters"/>
          <w:rFonts w:ascii="Times New Roman" w:hAnsi="Times New Roman"/>
          <w:sz w:val="22"/>
          <w:szCs w:val="22"/>
        </w:rPr>
        <w:footnoteRef/>
      </w:r>
      <w:r w:rsidRPr="00012728">
        <w:rPr>
          <w:rFonts w:ascii="Times New Roman" w:eastAsia="Verdana" w:hAnsi="Times New Roman"/>
          <w:sz w:val="22"/>
          <w:szCs w:val="22"/>
          <w:lang w:val="en-GB"/>
        </w:rPr>
        <w:t xml:space="preserve"> Following the 2008 study on the assessment of the IAP, the data extracted from the replies local councils on the current situation of Roma are further updated through an </w:t>
      </w:r>
      <w:r w:rsidRPr="00012728">
        <w:rPr>
          <w:rFonts w:ascii="Times New Roman" w:eastAsia="Helvetica" w:hAnsi="Times New Roman"/>
          <w:sz w:val="22"/>
          <w:szCs w:val="22"/>
          <w:lang w:val="en-GB"/>
        </w:rPr>
        <w:t xml:space="preserve">internet application which </w:t>
      </w:r>
      <w:r w:rsidRPr="00012728">
        <w:rPr>
          <w:rFonts w:ascii="Times New Roman" w:eastAsia="Verdana" w:hAnsi="Times New Roman"/>
          <w:sz w:val="22"/>
          <w:szCs w:val="22"/>
          <w:lang w:val="en-GB"/>
        </w:rPr>
        <w:t xml:space="preserve">has been developed by the Ministry of Labour and Social Security General Secretariat for the Management of Community and Other Resources, in order to present a </w:t>
      </w:r>
      <w:r w:rsidRPr="00012728">
        <w:rPr>
          <w:rFonts w:ascii="Times New Roman" w:eastAsia="Helvetica" w:hAnsi="Times New Roman"/>
          <w:sz w:val="22"/>
          <w:szCs w:val="22"/>
          <w:lang w:val="en-GB"/>
        </w:rPr>
        <w:t>full, properly documented picture</w:t>
      </w:r>
      <w:r w:rsidRPr="00012728">
        <w:rPr>
          <w:rFonts w:ascii="Times New Roman" w:eastAsia="Verdana" w:hAnsi="Times New Roman"/>
          <w:sz w:val="22"/>
          <w:szCs w:val="22"/>
          <w:lang w:val="en-GB"/>
        </w:rPr>
        <w:t xml:space="preserve"> </w:t>
      </w:r>
      <w:r w:rsidRPr="00012728">
        <w:rPr>
          <w:rFonts w:ascii="Times New Roman" w:eastAsia="Helvetica" w:hAnsi="Times New Roman"/>
          <w:sz w:val="22"/>
          <w:szCs w:val="22"/>
          <w:lang w:val="en-GB"/>
        </w:rPr>
        <w:t xml:space="preserve">of the existing situation, in order to ensure that the interventions to be held in the context of the National Strategy for Roma 2012 – 2020 are as effectively targeted as possible. </w:t>
      </w:r>
    </w:p>
  </w:footnote>
  <w:footnote w:id="7">
    <w:p w:rsidR="00C03113" w:rsidRPr="00012728" w:rsidRDefault="00C03113" w:rsidP="00012728">
      <w:pPr>
        <w:jc w:val="both"/>
        <w:rPr>
          <w:sz w:val="22"/>
          <w:szCs w:val="22"/>
          <w:lang w:val="en-GB"/>
        </w:rPr>
      </w:pPr>
      <w:r w:rsidRPr="00012728">
        <w:rPr>
          <w:rStyle w:val="FootnoteReference"/>
          <w:sz w:val="22"/>
          <w:szCs w:val="22"/>
        </w:rPr>
        <w:footnoteRef/>
      </w:r>
      <w:r w:rsidRPr="00012728">
        <w:rPr>
          <w:sz w:val="22"/>
          <w:szCs w:val="22"/>
          <w:lang w:val="en-GB"/>
        </w:rPr>
        <w:t xml:space="preserve"> It must be noted that the more appropriate term ‘risk of poverty’ has been chosen instead of ‘poverty’ during use of such indicators (due to the multi-dimensional phenomenon of poverty that is not exhausted by the assessment through individual </w:t>
      </w:r>
      <w:r w:rsidRPr="00012728">
        <w:rPr>
          <w:i/>
          <w:sz w:val="22"/>
          <w:szCs w:val="22"/>
          <w:lang w:val="en-GB"/>
        </w:rPr>
        <w:t>economic</w:t>
      </w:r>
      <w:r w:rsidRPr="00012728">
        <w:rPr>
          <w:sz w:val="22"/>
          <w:szCs w:val="22"/>
          <w:lang w:val="en-GB"/>
        </w:rPr>
        <w:t xml:space="preserve"> indicators).</w:t>
      </w:r>
    </w:p>
    <w:p w:rsidR="00C03113" w:rsidRPr="00012728" w:rsidRDefault="00C03113" w:rsidP="00012728">
      <w:pPr>
        <w:jc w:val="both"/>
        <w:rPr>
          <w:sz w:val="22"/>
          <w:szCs w:val="22"/>
          <w:lang w:val="en-GB"/>
        </w:rPr>
      </w:pPr>
    </w:p>
  </w:footnote>
  <w:footnote w:id="8">
    <w:p w:rsidR="00C03113" w:rsidRPr="00012728" w:rsidRDefault="00C03113" w:rsidP="00012728">
      <w:pPr>
        <w:jc w:val="both"/>
        <w:rPr>
          <w:b/>
          <w:sz w:val="22"/>
          <w:szCs w:val="22"/>
          <w:lang w:val="en-GB"/>
        </w:rPr>
      </w:pPr>
      <w:r w:rsidRPr="00012728">
        <w:rPr>
          <w:rStyle w:val="FootnoteReference"/>
          <w:sz w:val="22"/>
          <w:szCs w:val="22"/>
        </w:rPr>
        <w:footnoteRef/>
      </w:r>
      <w:r w:rsidRPr="00012728">
        <w:rPr>
          <w:sz w:val="22"/>
          <w:szCs w:val="22"/>
          <w:lang w:val="en-GB"/>
        </w:rPr>
        <w:t xml:space="preserve"> The poverty gap (‘depth’) refers to the income status of persons below poverty line and is calculated as the difference between the poverty line and median equivalent available income of the poor, as a percentage of poverty line</w:t>
      </w:r>
      <w:r w:rsidRPr="00012728">
        <w:rPr>
          <w:b/>
          <w:sz w:val="22"/>
          <w:szCs w:val="22"/>
          <w:lang w:val="en-GB"/>
        </w:rPr>
        <w:t>.</w:t>
      </w:r>
    </w:p>
    <w:p w:rsidR="00C03113" w:rsidRPr="00012728" w:rsidRDefault="00C03113" w:rsidP="00012728">
      <w:pPr>
        <w:jc w:val="both"/>
        <w:rPr>
          <w:sz w:val="22"/>
          <w:szCs w:val="22"/>
          <w:lang w:val="en-GB"/>
        </w:rPr>
      </w:pPr>
    </w:p>
  </w:footnote>
  <w:footnote w:id="9">
    <w:p w:rsidR="00C03113" w:rsidRPr="00012728" w:rsidRDefault="00C03113" w:rsidP="00012728">
      <w:pPr>
        <w:autoSpaceDE w:val="0"/>
        <w:autoSpaceDN w:val="0"/>
        <w:adjustRightInd w:val="0"/>
        <w:jc w:val="both"/>
        <w:rPr>
          <w:bCs/>
          <w:i/>
          <w:sz w:val="22"/>
          <w:szCs w:val="22"/>
          <w:lang w:val="en-GB"/>
        </w:rPr>
      </w:pPr>
      <w:r w:rsidRPr="00012728">
        <w:rPr>
          <w:rStyle w:val="FootnoteReference"/>
          <w:sz w:val="22"/>
          <w:szCs w:val="22"/>
        </w:rPr>
        <w:footnoteRef/>
      </w:r>
      <w:r w:rsidRPr="00012728">
        <w:rPr>
          <w:sz w:val="22"/>
          <w:szCs w:val="22"/>
          <w:lang w:val="en-GB"/>
        </w:rPr>
        <w:t xml:space="preserve"> </w:t>
      </w:r>
      <w:r w:rsidRPr="00012728">
        <w:rPr>
          <w:bCs/>
          <w:i/>
          <w:sz w:val="22"/>
          <w:szCs w:val="22"/>
          <w:lang w:val="en-GB"/>
        </w:rPr>
        <w:t>Source: Hellenic National Reform Programme 2012-2015, Report on the  progress towards ‘Europe 2020’ April 2012</w:t>
      </w:r>
      <w:r w:rsidRPr="00012728">
        <w:rPr>
          <w:sz w:val="22"/>
          <w:szCs w:val="22"/>
          <w:lang w:val="en-GB"/>
        </w:rPr>
        <w:t xml:space="preserve"> </w:t>
      </w:r>
    </w:p>
  </w:footnote>
  <w:footnote w:id="10">
    <w:p w:rsidR="00C03113" w:rsidRPr="00012728" w:rsidRDefault="00C03113" w:rsidP="00012728">
      <w:pPr>
        <w:ind w:right="26"/>
        <w:jc w:val="both"/>
        <w:rPr>
          <w:bCs/>
          <w:sz w:val="22"/>
          <w:szCs w:val="22"/>
          <w:lang w:val="en-GB"/>
        </w:rPr>
      </w:pPr>
      <w:r w:rsidRPr="00012728">
        <w:rPr>
          <w:rStyle w:val="FootnoteReference"/>
          <w:sz w:val="22"/>
          <w:szCs w:val="22"/>
        </w:rPr>
        <w:footnoteRef/>
      </w:r>
      <w:r w:rsidRPr="00012728">
        <w:rPr>
          <w:bCs/>
          <w:sz w:val="22"/>
          <w:szCs w:val="22"/>
          <w:lang w:val="en-GB"/>
        </w:rPr>
        <w:t>More specifically, Law 3845/2010 “</w:t>
      </w:r>
      <w:r w:rsidRPr="00012728">
        <w:rPr>
          <w:bCs/>
          <w:i/>
          <w:sz w:val="22"/>
          <w:szCs w:val="22"/>
          <w:lang w:val="en-GB"/>
        </w:rPr>
        <w:t>Measures for the application of the support mechanism for the Greek economy by euro area Member States and the International Monetary Fund</w:t>
      </w:r>
      <w:r w:rsidRPr="00012728">
        <w:rPr>
          <w:bCs/>
          <w:sz w:val="22"/>
          <w:szCs w:val="22"/>
          <w:lang w:val="en-GB"/>
        </w:rPr>
        <w:t xml:space="preserve">” provides authorisation by presidential decrees, in order for all necessary extraordinary measures to be </w:t>
      </w:r>
      <w:r w:rsidRPr="00771ADA">
        <w:rPr>
          <w:bCs/>
          <w:sz w:val="22"/>
          <w:szCs w:val="22"/>
          <w:lang w:val="en-GB"/>
        </w:rPr>
        <w:t>taken for</w:t>
      </w:r>
      <w:r w:rsidRPr="00012728">
        <w:rPr>
          <w:b/>
          <w:bCs/>
          <w:sz w:val="22"/>
          <w:szCs w:val="22"/>
          <w:lang w:val="en-GB"/>
        </w:rPr>
        <w:t xml:space="preserve"> </w:t>
      </w:r>
      <w:r w:rsidRPr="00012728">
        <w:rPr>
          <w:bCs/>
          <w:sz w:val="22"/>
          <w:szCs w:val="22"/>
          <w:lang w:val="en-GB"/>
        </w:rPr>
        <w:t xml:space="preserve">the confrontation of special needs of the poor and vulnerable groups of population living under disadvantaged social conditions such as unemployment, old age, social exclusion, lack of income. </w:t>
      </w:r>
    </w:p>
    <w:p w:rsidR="00C03113" w:rsidRPr="00012728" w:rsidRDefault="00C03113" w:rsidP="00012728">
      <w:pPr>
        <w:pStyle w:val="FootnoteText"/>
        <w:jc w:val="both"/>
        <w:rPr>
          <w:rFonts w:ascii="Times New Roman" w:hAnsi="Times New Roman"/>
          <w:sz w:val="22"/>
          <w:szCs w:val="22"/>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BD2"/>
    <w:multiLevelType w:val="hybridMultilevel"/>
    <w:tmpl w:val="FD8C8F4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CB07E53"/>
    <w:multiLevelType w:val="hybridMultilevel"/>
    <w:tmpl w:val="0576F81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D28653E"/>
    <w:multiLevelType w:val="multilevel"/>
    <w:tmpl w:val="30D6F02C"/>
    <w:lvl w:ilvl="0">
      <w:start w:val="1"/>
      <w:numFmt w:val="decimal"/>
      <w:lvlText w:val="%1."/>
      <w:lvlJc w:val="left"/>
      <w:pPr>
        <w:tabs>
          <w:tab w:val="num" w:pos="0"/>
        </w:tabs>
        <w:ind w:left="0" w:firstLine="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866576"/>
    <w:multiLevelType w:val="hybridMultilevel"/>
    <w:tmpl w:val="3DA67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9461E4"/>
    <w:multiLevelType w:val="hybridMultilevel"/>
    <w:tmpl w:val="41142E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02D4391"/>
    <w:multiLevelType w:val="hybridMultilevel"/>
    <w:tmpl w:val="D7D4A204"/>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6">
    <w:nsid w:val="111A36E4"/>
    <w:multiLevelType w:val="hybridMultilevel"/>
    <w:tmpl w:val="F3605B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E36303"/>
    <w:multiLevelType w:val="hybridMultilevel"/>
    <w:tmpl w:val="14C895BE"/>
    <w:lvl w:ilvl="0" w:tplc="0408000F">
      <w:start w:val="1"/>
      <w:numFmt w:val="decimal"/>
      <w:lvlText w:val="%1."/>
      <w:lvlJc w:val="left"/>
      <w:pPr>
        <w:tabs>
          <w:tab w:val="num" w:pos="900"/>
        </w:tabs>
        <w:ind w:left="900" w:hanging="360"/>
      </w:pPr>
    </w:lvl>
    <w:lvl w:ilvl="1" w:tplc="18E0C80C">
      <w:start w:val="8"/>
      <w:numFmt w:val="bullet"/>
      <w:lvlText w:val="-"/>
      <w:lvlJc w:val="left"/>
      <w:pPr>
        <w:tabs>
          <w:tab w:val="num" w:pos="1800"/>
        </w:tabs>
        <w:ind w:left="1800" w:hanging="720"/>
      </w:pPr>
      <w:rPr>
        <w:rFonts w:ascii="Times New Roman" w:eastAsia="Times New Roman" w:hAnsi="Times New Roman" w:cs="Times New Roman" w:hint="default"/>
      </w:rPr>
    </w:lvl>
    <w:lvl w:ilvl="2" w:tplc="9B48A5EC">
      <w:start w:val="1"/>
      <w:numFmt w:val="lowerLetter"/>
      <w:lvlText w:val="(%3)"/>
      <w:lvlJc w:val="left"/>
      <w:pPr>
        <w:tabs>
          <w:tab w:val="num" w:pos="2355"/>
        </w:tabs>
        <w:ind w:left="2355" w:hanging="375"/>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AC23D7A"/>
    <w:multiLevelType w:val="hybridMultilevel"/>
    <w:tmpl w:val="7A56B6E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FB17205"/>
    <w:multiLevelType w:val="hybridMultilevel"/>
    <w:tmpl w:val="0A468C46"/>
    <w:lvl w:ilvl="0" w:tplc="04080001">
      <w:start w:val="1"/>
      <w:numFmt w:val="bullet"/>
      <w:lvlText w:val=""/>
      <w:lvlJc w:val="left"/>
      <w:pPr>
        <w:tabs>
          <w:tab w:val="num" w:pos="720"/>
        </w:tabs>
        <w:ind w:left="720" w:hanging="360"/>
      </w:pPr>
      <w:rPr>
        <w:rFonts w:ascii="Symbol" w:hAnsi="Symbol" w:hint="default"/>
      </w:rPr>
    </w:lvl>
    <w:lvl w:ilvl="1" w:tplc="18E0C80C">
      <w:start w:val="8"/>
      <w:numFmt w:val="bullet"/>
      <w:lvlText w:val="-"/>
      <w:lvlJc w:val="left"/>
      <w:pPr>
        <w:tabs>
          <w:tab w:val="num" w:pos="1800"/>
        </w:tabs>
        <w:ind w:left="1800" w:hanging="720"/>
      </w:pPr>
      <w:rPr>
        <w:rFonts w:ascii="Times New Roman" w:eastAsia="Times New Roman" w:hAnsi="Times New Roman" w:cs="Times New Roman" w:hint="default"/>
      </w:rPr>
    </w:lvl>
    <w:lvl w:ilvl="2" w:tplc="9B48A5EC">
      <w:start w:val="1"/>
      <w:numFmt w:val="lowerLetter"/>
      <w:lvlText w:val="(%3)"/>
      <w:lvlJc w:val="left"/>
      <w:pPr>
        <w:tabs>
          <w:tab w:val="num" w:pos="2355"/>
        </w:tabs>
        <w:ind w:left="2355" w:hanging="375"/>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06C0209"/>
    <w:multiLevelType w:val="hybridMultilevel"/>
    <w:tmpl w:val="85CC7596"/>
    <w:lvl w:ilvl="0" w:tplc="377292A6">
      <w:start w:val="1"/>
      <w:numFmt w:val="lowerRoman"/>
      <w:lvlText w:val="%1."/>
      <w:lvlJc w:val="left"/>
      <w:pPr>
        <w:tabs>
          <w:tab w:val="num" w:pos="0"/>
        </w:tabs>
      </w:pPr>
      <w:rPr>
        <w:rFonts w:cs="Times New Roman" w:hint="default"/>
      </w:rPr>
    </w:lvl>
    <w:lvl w:ilvl="1" w:tplc="20C43F9C">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nsid w:val="20E77A75"/>
    <w:multiLevelType w:val="hybridMultilevel"/>
    <w:tmpl w:val="4E965E0C"/>
    <w:lvl w:ilvl="0" w:tplc="5C84C24A">
      <w:start w:val="3"/>
      <w:numFmt w:val="decimal"/>
      <w:lvlText w:val="%1."/>
      <w:lvlJc w:val="left"/>
      <w:pPr>
        <w:tabs>
          <w:tab w:val="num" w:pos="900"/>
        </w:tabs>
        <w:ind w:left="900"/>
      </w:pPr>
      <w:rPr>
        <w:rFonts w:cs="Times New Roman" w:hint="default"/>
        <w:b w:val="0"/>
        <w:color w:val="auto"/>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2">
    <w:nsid w:val="24354892"/>
    <w:multiLevelType w:val="hybridMultilevel"/>
    <w:tmpl w:val="A2A400F8"/>
    <w:lvl w:ilvl="0" w:tplc="B1580336">
      <w:start w:val="1"/>
      <w:numFmt w:val="bullet"/>
      <w:lvlText w:val="−"/>
      <w:lvlJc w:val="left"/>
      <w:pPr>
        <w:tabs>
          <w:tab w:val="num" w:pos="1507"/>
        </w:tabs>
        <w:ind w:left="1507" w:hanging="360"/>
      </w:pPr>
      <w:rPr>
        <w:rFonts w:ascii="Arial"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9F20BA"/>
    <w:multiLevelType w:val="hybridMultilevel"/>
    <w:tmpl w:val="04FEE7A4"/>
    <w:lvl w:ilvl="0" w:tplc="959C14D2">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5CB18F3"/>
    <w:multiLevelType w:val="hybridMultilevel"/>
    <w:tmpl w:val="4976902C"/>
    <w:lvl w:ilvl="0" w:tplc="68086FCC">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86D1D89"/>
    <w:multiLevelType w:val="hybridMultilevel"/>
    <w:tmpl w:val="B462C0DC"/>
    <w:lvl w:ilvl="0" w:tplc="377292A6">
      <w:start w:val="1"/>
      <w:numFmt w:val="lowerRoman"/>
      <w:lvlText w:val="%1."/>
      <w:lvlJc w:val="left"/>
      <w:pPr>
        <w:tabs>
          <w:tab w:val="num" w:pos="0"/>
        </w:tabs>
      </w:pPr>
      <w:rPr>
        <w:rFonts w:cs="Times New Roman" w:hint="default"/>
      </w:rPr>
    </w:lvl>
    <w:lvl w:ilvl="1" w:tplc="20C43F9C">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6">
    <w:nsid w:val="2E5C2EDE"/>
    <w:multiLevelType w:val="hybridMultilevel"/>
    <w:tmpl w:val="5D2E43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076C1B"/>
    <w:multiLevelType w:val="hybridMultilevel"/>
    <w:tmpl w:val="1F9ADB58"/>
    <w:lvl w:ilvl="0" w:tplc="6DE8C0FC">
      <w:start w:val="1"/>
      <w:numFmt w:val="bullet"/>
      <w:lvlText w:val=""/>
      <w:lvlJc w:val="left"/>
      <w:pPr>
        <w:tabs>
          <w:tab w:val="num" w:pos="227"/>
        </w:tabs>
        <w:ind w:left="216" w:hanging="216"/>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51D49A2"/>
    <w:multiLevelType w:val="hybridMultilevel"/>
    <w:tmpl w:val="46DAAAE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9">
    <w:nsid w:val="38670350"/>
    <w:multiLevelType w:val="hybridMultilevel"/>
    <w:tmpl w:val="793C6914"/>
    <w:lvl w:ilvl="0" w:tplc="04080001">
      <w:start w:val="1"/>
      <w:numFmt w:val="bullet"/>
      <w:lvlText w:val=""/>
      <w:lvlJc w:val="left"/>
      <w:pPr>
        <w:tabs>
          <w:tab w:val="num" w:pos="720"/>
        </w:tabs>
        <w:ind w:left="720" w:hanging="360"/>
      </w:pPr>
      <w:rPr>
        <w:rFonts w:ascii="Symbol" w:hAnsi="Symbol" w:hint="default"/>
      </w:rPr>
    </w:lvl>
    <w:lvl w:ilvl="1" w:tplc="18E0C80C">
      <w:start w:val="8"/>
      <w:numFmt w:val="bullet"/>
      <w:lvlText w:val="-"/>
      <w:lvlJc w:val="left"/>
      <w:pPr>
        <w:tabs>
          <w:tab w:val="num" w:pos="1800"/>
        </w:tabs>
        <w:ind w:left="1800" w:hanging="720"/>
      </w:pPr>
      <w:rPr>
        <w:rFonts w:ascii="Times New Roman" w:eastAsia="Times New Roman" w:hAnsi="Times New Roman" w:cs="Times New Roman" w:hint="default"/>
      </w:rPr>
    </w:lvl>
    <w:lvl w:ilvl="2" w:tplc="9B48A5EC">
      <w:start w:val="1"/>
      <w:numFmt w:val="lowerLetter"/>
      <w:lvlText w:val="(%3)"/>
      <w:lvlJc w:val="left"/>
      <w:pPr>
        <w:tabs>
          <w:tab w:val="num" w:pos="2355"/>
        </w:tabs>
        <w:ind w:left="2355" w:hanging="375"/>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1">
    <w:nsid w:val="44832AD9"/>
    <w:multiLevelType w:val="hybridMultilevel"/>
    <w:tmpl w:val="30D6F02C"/>
    <w:lvl w:ilvl="0" w:tplc="7D8032E4">
      <w:start w:val="1"/>
      <w:numFmt w:val="decimal"/>
      <w:lvlText w:val="%1."/>
      <w:lvlJc w:val="left"/>
      <w:pPr>
        <w:tabs>
          <w:tab w:val="num" w:pos="0"/>
        </w:tabs>
        <w:ind w:left="0" w:firstLine="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6DD4CDE"/>
    <w:multiLevelType w:val="hybridMultilevel"/>
    <w:tmpl w:val="90E2D228"/>
    <w:lvl w:ilvl="0" w:tplc="04080019">
      <w:start w:val="1"/>
      <w:numFmt w:val="lowerLetter"/>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4B3A2FC4"/>
    <w:multiLevelType w:val="hybridMultilevel"/>
    <w:tmpl w:val="39722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E955E6B"/>
    <w:multiLevelType w:val="hybridMultilevel"/>
    <w:tmpl w:val="14B23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1650CA"/>
    <w:multiLevelType w:val="hybridMultilevel"/>
    <w:tmpl w:val="3174B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3D542F"/>
    <w:multiLevelType w:val="hybridMultilevel"/>
    <w:tmpl w:val="2292B3B8"/>
    <w:lvl w:ilvl="0" w:tplc="12EC2B30">
      <w:start w:val="1"/>
      <w:numFmt w:val="bullet"/>
      <w:lvlText w:val=""/>
      <w:lvlJc w:val="left"/>
      <w:pPr>
        <w:tabs>
          <w:tab w:val="num" w:pos="227"/>
        </w:tabs>
        <w:ind w:left="216" w:hanging="216"/>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6067CF7"/>
    <w:multiLevelType w:val="hybridMultilevel"/>
    <w:tmpl w:val="EA86D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BF0A85"/>
    <w:multiLevelType w:val="hybridMultilevel"/>
    <w:tmpl w:val="62FAA01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ABD5494"/>
    <w:multiLevelType w:val="hybridMultilevel"/>
    <w:tmpl w:val="4A68D6AA"/>
    <w:lvl w:ilvl="0" w:tplc="F05C9F72">
      <w:start w:val="1"/>
      <w:numFmt w:val="upp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5D4A2F3C"/>
    <w:multiLevelType w:val="hybridMultilevel"/>
    <w:tmpl w:val="8A1E23E4"/>
    <w:lvl w:ilvl="0" w:tplc="04080005">
      <w:start w:val="1"/>
      <w:numFmt w:val="bullet"/>
      <w:lvlText w:val=""/>
      <w:lvlJc w:val="left"/>
      <w:pPr>
        <w:tabs>
          <w:tab w:val="num" w:pos="360"/>
        </w:tabs>
        <w:ind w:left="36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1">
    <w:nsid w:val="605201C6"/>
    <w:multiLevelType w:val="hybridMultilevel"/>
    <w:tmpl w:val="8FCAC0A6"/>
    <w:lvl w:ilvl="0" w:tplc="04080005">
      <w:start w:val="1"/>
      <w:numFmt w:val="bullet"/>
      <w:lvlText w:val=""/>
      <w:lvlJc w:val="left"/>
      <w:pPr>
        <w:tabs>
          <w:tab w:val="num" w:pos="770"/>
        </w:tabs>
        <w:ind w:left="77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2">
    <w:nsid w:val="656B78AE"/>
    <w:multiLevelType w:val="hybridMultilevel"/>
    <w:tmpl w:val="041AD57C"/>
    <w:lvl w:ilvl="0" w:tplc="0408000F">
      <w:start w:val="1"/>
      <w:numFmt w:val="decimal"/>
      <w:lvlText w:val="%1."/>
      <w:lvlJc w:val="left"/>
      <w:pPr>
        <w:ind w:left="825" w:hanging="360"/>
      </w:pPr>
      <w:rPr>
        <w:rFonts w:cs="Times New Roman"/>
      </w:rPr>
    </w:lvl>
    <w:lvl w:ilvl="1" w:tplc="04080019" w:tentative="1">
      <w:start w:val="1"/>
      <w:numFmt w:val="lowerLetter"/>
      <w:lvlText w:val="%2."/>
      <w:lvlJc w:val="left"/>
      <w:pPr>
        <w:ind w:left="1545" w:hanging="360"/>
      </w:pPr>
      <w:rPr>
        <w:rFonts w:cs="Times New Roman"/>
      </w:rPr>
    </w:lvl>
    <w:lvl w:ilvl="2" w:tplc="0408001B" w:tentative="1">
      <w:start w:val="1"/>
      <w:numFmt w:val="lowerRoman"/>
      <w:lvlText w:val="%3."/>
      <w:lvlJc w:val="right"/>
      <w:pPr>
        <w:ind w:left="2265" w:hanging="180"/>
      </w:pPr>
      <w:rPr>
        <w:rFonts w:cs="Times New Roman"/>
      </w:rPr>
    </w:lvl>
    <w:lvl w:ilvl="3" w:tplc="0408000F" w:tentative="1">
      <w:start w:val="1"/>
      <w:numFmt w:val="decimal"/>
      <w:lvlText w:val="%4."/>
      <w:lvlJc w:val="left"/>
      <w:pPr>
        <w:ind w:left="2985" w:hanging="360"/>
      </w:pPr>
      <w:rPr>
        <w:rFonts w:cs="Times New Roman"/>
      </w:rPr>
    </w:lvl>
    <w:lvl w:ilvl="4" w:tplc="04080019" w:tentative="1">
      <w:start w:val="1"/>
      <w:numFmt w:val="lowerLetter"/>
      <w:lvlText w:val="%5."/>
      <w:lvlJc w:val="left"/>
      <w:pPr>
        <w:ind w:left="3705" w:hanging="360"/>
      </w:pPr>
      <w:rPr>
        <w:rFonts w:cs="Times New Roman"/>
      </w:rPr>
    </w:lvl>
    <w:lvl w:ilvl="5" w:tplc="0408001B" w:tentative="1">
      <w:start w:val="1"/>
      <w:numFmt w:val="lowerRoman"/>
      <w:lvlText w:val="%6."/>
      <w:lvlJc w:val="right"/>
      <w:pPr>
        <w:ind w:left="4425" w:hanging="180"/>
      </w:pPr>
      <w:rPr>
        <w:rFonts w:cs="Times New Roman"/>
      </w:rPr>
    </w:lvl>
    <w:lvl w:ilvl="6" w:tplc="0408000F" w:tentative="1">
      <w:start w:val="1"/>
      <w:numFmt w:val="decimal"/>
      <w:lvlText w:val="%7."/>
      <w:lvlJc w:val="left"/>
      <w:pPr>
        <w:ind w:left="5145" w:hanging="360"/>
      </w:pPr>
      <w:rPr>
        <w:rFonts w:cs="Times New Roman"/>
      </w:rPr>
    </w:lvl>
    <w:lvl w:ilvl="7" w:tplc="04080019" w:tentative="1">
      <w:start w:val="1"/>
      <w:numFmt w:val="lowerLetter"/>
      <w:lvlText w:val="%8."/>
      <w:lvlJc w:val="left"/>
      <w:pPr>
        <w:ind w:left="5865" w:hanging="360"/>
      </w:pPr>
      <w:rPr>
        <w:rFonts w:cs="Times New Roman"/>
      </w:rPr>
    </w:lvl>
    <w:lvl w:ilvl="8" w:tplc="0408001B" w:tentative="1">
      <w:start w:val="1"/>
      <w:numFmt w:val="lowerRoman"/>
      <w:lvlText w:val="%9."/>
      <w:lvlJc w:val="right"/>
      <w:pPr>
        <w:ind w:left="6585" w:hanging="180"/>
      </w:pPr>
      <w:rPr>
        <w:rFonts w:cs="Times New Roman"/>
      </w:rPr>
    </w:lvl>
  </w:abstractNum>
  <w:abstractNum w:abstractNumId="33">
    <w:nsid w:val="65A66B05"/>
    <w:multiLevelType w:val="hybridMultilevel"/>
    <w:tmpl w:val="B6F0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442650"/>
    <w:multiLevelType w:val="hybridMultilevel"/>
    <w:tmpl w:val="95D21FF6"/>
    <w:lvl w:ilvl="0" w:tplc="A2F2D108">
      <w:start w:val="1"/>
      <w:numFmt w:val="lowerLetter"/>
      <w:lvlText w:val="%1)"/>
      <w:lvlJc w:val="left"/>
      <w:pPr>
        <w:ind w:left="405" w:hanging="360"/>
      </w:pPr>
      <w:rPr>
        <w:rFonts w:cs="Times New Roman" w:hint="default"/>
        <w:color w:val="auto"/>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5">
    <w:nsid w:val="6CBE0929"/>
    <w:multiLevelType w:val="hybridMultilevel"/>
    <w:tmpl w:val="E18EC5B2"/>
    <w:lvl w:ilvl="0" w:tplc="EC2A952C">
      <w:start w:val="1"/>
      <w:numFmt w:val="upperLetter"/>
      <w:lvlText w:val="%1."/>
      <w:lvlJc w:val="left"/>
      <w:pPr>
        <w:ind w:left="540" w:hanging="360"/>
      </w:pPr>
      <w:rPr>
        <w:rFonts w:cs="Times New Roman" w:hint="default"/>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D8F6913"/>
    <w:multiLevelType w:val="hybridMultilevel"/>
    <w:tmpl w:val="0104522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6E1C7403"/>
    <w:multiLevelType w:val="hybridMultilevel"/>
    <w:tmpl w:val="93827410"/>
    <w:lvl w:ilvl="0" w:tplc="88F807F6">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0B400D5"/>
    <w:multiLevelType w:val="hybridMultilevel"/>
    <w:tmpl w:val="E2FC877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5A93709"/>
    <w:multiLevelType w:val="hybridMultilevel"/>
    <w:tmpl w:val="2A06A9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768B04ED"/>
    <w:multiLevelType w:val="hybridMultilevel"/>
    <w:tmpl w:val="30F8181C"/>
    <w:lvl w:ilvl="0" w:tplc="377292A6">
      <w:start w:val="1"/>
      <w:numFmt w:val="lowerRoman"/>
      <w:lvlText w:val="%1."/>
      <w:lvlJc w:val="left"/>
      <w:pPr>
        <w:tabs>
          <w:tab w:val="num" w:pos="0"/>
        </w:tabs>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68B0F9C"/>
    <w:multiLevelType w:val="hybridMultilevel"/>
    <w:tmpl w:val="DD70ADFE"/>
    <w:lvl w:ilvl="0" w:tplc="9B2C79EC">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6CB16C1"/>
    <w:multiLevelType w:val="hybridMultilevel"/>
    <w:tmpl w:val="334E8E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9E51532"/>
    <w:multiLevelType w:val="hybridMultilevel"/>
    <w:tmpl w:val="9D847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C058F8"/>
    <w:multiLevelType w:val="hybridMultilevel"/>
    <w:tmpl w:val="F27C11E6"/>
    <w:lvl w:ilvl="0" w:tplc="C1265C5A">
      <w:start w:val="1"/>
      <w:numFmt w:val="bullet"/>
      <w:lvlText w:val=""/>
      <w:lvlJc w:val="left"/>
      <w:pPr>
        <w:tabs>
          <w:tab w:val="num" w:pos="360"/>
        </w:tabs>
        <w:ind w:left="340" w:hanging="340"/>
      </w:pPr>
      <w:rPr>
        <w:rFonts w:ascii="Wingdings 2" w:hAnsi="Wingdings 2"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28"/>
  </w:num>
  <w:num w:numId="4">
    <w:abstractNumId w:val="6"/>
  </w:num>
  <w:num w:numId="5">
    <w:abstractNumId w:val="25"/>
  </w:num>
  <w:num w:numId="6">
    <w:abstractNumId w:val="43"/>
  </w:num>
  <w:num w:numId="7">
    <w:abstractNumId w:val="33"/>
  </w:num>
  <w:num w:numId="8">
    <w:abstractNumId w:val="24"/>
  </w:num>
  <w:num w:numId="9">
    <w:abstractNumId w:val="41"/>
  </w:num>
  <w:num w:numId="10">
    <w:abstractNumId w:val="27"/>
  </w:num>
  <w:num w:numId="11">
    <w:abstractNumId w:val="5"/>
  </w:num>
  <w:num w:numId="12">
    <w:abstractNumId w:val="3"/>
  </w:num>
  <w:num w:numId="13">
    <w:abstractNumId w:val="35"/>
  </w:num>
  <w:num w:numId="14">
    <w:abstractNumId w:val="44"/>
  </w:num>
  <w:num w:numId="15">
    <w:abstractNumId w:val="42"/>
  </w:num>
  <w:num w:numId="16">
    <w:abstractNumId w:val="22"/>
  </w:num>
  <w:num w:numId="17">
    <w:abstractNumId w:val="38"/>
  </w:num>
  <w:num w:numId="18">
    <w:abstractNumId w:val="13"/>
  </w:num>
  <w:num w:numId="19">
    <w:abstractNumId w:val="20"/>
  </w:num>
  <w:num w:numId="20">
    <w:abstractNumId w:val="18"/>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5"/>
  </w:num>
  <w:num w:numId="25">
    <w:abstractNumId w:val="10"/>
  </w:num>
  <w:num w:numId="26">
    <w:abstractNumId w:val="40"/>
  </w:num>
  <w:num w:numId="27">
    <w:abstractNumId w:val="12"/>
  </w:num>
  <w:num w:numId="28">
    <w:abstractNumId w:val="29"/>
  </w:num>
  <w:num w:numId="29">
    <w:abstractNumId w:val="36"/>
  </w:num>
  <w:num w:numId="30">
    <w:abstractNumId w:val="0"/>
  </w:num>
  <w:num w:numId="31">
    <w:abstractNumId w:val="11"/>
  </w:num>
  <w:num w:numId="32">
    <w:abstractNumId w:val="7"/>
  </w:num>
  <w:num w:numId="33">
    <w:abstractNumId w:val="19"/>
  </w:num>
  <w:num w:numId="34">
    <w:abstractNumId w:val="9"/>
  </w:num>
  <w:num w:numId="35">
    <w:abstractNumId w:val="32"/>
  </w:num>
  <w:num w:numId="36">
    <w:abstractNumId w:val="8"/>
  </w:num>
  <w:num w:numId="37">
    <w:abstractNumId w:val="37"/>
  </w:num>
  <w:num w:numId="38">
    <w:abstractNumId w:val="14"/>
  </w:num>
  <w:num w:numId="39">
    <w:abstractNumId w:val="23"/>
  </w:num>
  <w:num w:numId="40">
    <w:abstractNumId w:val="16"/>
  </w:num>
  <w:num w:numId="41">
    <w:abstractNumId w:val="1"/>
  </w:num>
  <w:num w:numId="42">
    <w:abstractNumId w:val="34"/>
  </w:num>
  <w:num w:numId="43">
    <w:abstractNumId w:val="21"/>
  </w:num>
  <w:num w:numId="44">
    <w:abstractNumId w:val="4"/>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E866B0"/>
    <w:rsid w:val="0001057F"/>
    <w:rsid w:val="00012728"/>
    <w:rsid w:val="0001648F"/>
    <w:rsid w:val="000438FD"/>
    <w:rsid w:val="00044C70"/>
    <w:rsid w:val="000454D4"/>
    <w:rsid w:val="0008134A"/>
    <w:rsid w:val="00081BCB"/>
    <w:rsid w:val="000A5686"/>
    <w:rsid w:val="000D20FB"/>
    <w:rsid w:val="000E365D"/>
    <w:rsid w:val="0011416A"/>
    <w:rsid w:val="00115FC9"/>
    <w:rsid w:val="0012654A"/>
    <w:rsid w:val="00134A73"/>
    <w:rsid w:val="00144B05"/>
    <w:rsid w:val="00147C7A"/>
    <w:rsid w:val="00156400"/>
    <w:rsid w:val="00161C4C"/>
    <w:rsid w:val="0016257B"/>
    <w:rsid w:val="0016587F"/>
    <w:rsid w:val="00172F04"/>
    <w:rsid w:val="00174FB1"/>
    <w:rsid w:val="001C4FFF"/>
    <w:rsid w:val="001E3940"/>
    <w:rsid w:val="001F7A32"/>
    <w:rsid w:val="002148B7"/>
    <w:rsid w:val="0023082F"/>
    <w:rsid w:val="00252825"/>
    <w:rsid w:val="002712D1"/>
    <w:rsid w:val="0028487F"/>
    <w:rsid w:val="00294073"/>
    <w:rsid w:val="002976DE"/>
    <w:rsid w:val="002A4AD0"/>
    <w:rsid w:val="002C0203"/>
    <w:rsid w:val="002C7FA7"/>
    <w:rsid w:val="002D0198"/>
    <w:rsid w:val="002D69BD"/>
    <w:rsid w:val="002F5EF1"/>
    <w:rsid w:val="00336C20"/>
    <w:rsid w:val="003434E5"/>
    <w:rsid w:val="00347FD0"/>
    <w:rsid w:val="00354800"/>
    <w:rsid w:val="00361E35"/>
    <w:rsid w:val="003803D6"/>
    <w:rsid w:val="00384EE2"/>
    <w:rsid w:val="003B07E2"/>
    <w:rsid w:val="003C1C45"/>
    <w:rsid w:val="00405628"/>
    <w:rsid w:val="00422FF6"/>
    <w:rsid w:val="00435004"/>
    <w:rsid w:val="004A351B"/>
    <w:rsid w:val="004C02BF"/>
    <w:rsid w:val="004C493E"/>
    <w:rsid w:val="00503154"/>
    <w:rsid w:val="0050791D"/>
    <w:rsid w:val="00512B5D"/>
    <w:rsid w:val="00532147"/>
    <w:rsid w:val="00534041"/>
    <w:rsid w:val="00543B17"/>
    <w:rsid w:val="00555E51"/>
    <w:rsid w:val="0056736E"/>
    <w:rsid w:val="00574C76"/>
    <w:rsid w:val="0059675B"/>
    <w:rsid w:val="005A3898"/>
    <w:rsid w:val="005B2D35"/>
    <w:rsid w:val="00602BCC"/>
    <w:rsid w:val="00615701"/>
    <w:rsid w:val="00631C4E"/>
    <w:rsid w:val="00632942"/>
    <w:rsid w:val="006847BA"/>
    <w:rsid w:val="00687740"/>
    <w:rsid w:val="006B2D3E"/>
    <w:rsid w:val="006E16C5"/>
    <w:rsid w:val="00700372"/>
    <w:rsid w:val="00702BF2"/>
    <w:rsid w:val="007159BE"/>
    <w:rsid w:val="007170DD"/>
    <w:rsid w:val="0072350E"/>
    <w:rsid w:val="007321E5"/>
    <w:rsid w:val="00733454"/>
    <w:rsid w:val="007624C4"/>
    <w:rsid w:val="00771346"/>
    <w:rsid w:val="00771ADA"/>
    <w:rsid w:val="00773B94"/>
    <w:rsid w:val="007774C8"/>
    <w:rsid w:val="00790939"/>
    <w:rsid w:val="007B21C3"/>
    <w:rsid w:val="007D2E92"/>
    <w:rsid w:val="007E00C6"/>
    <w:rsid w:val="00822681"/>
    <w:rsid w:val="0084311C"/>
    <w:rsid w:val="00843174"/>
    <w:rsid w:val="008532C1"/>
    <w:rsid w:val="00874BFF"/>
    <w:rsid w:val="008A4122"/>
    <w:rsid w:val="008B167E"/>
    <w:rsid w:val="008B4875"/>
    <w:rsid w:val="008B58E8"/>
    <w:rsid w:val="008C1D50"/>
    <w:rsid w:val="008C6C53"/>
    <w:rsid w:val="008E1CF9"/>
    <w:rsid w:val="00913D79"/>
    <w:rsid w:val="00932912"/>
    <w:rsid w:val="00963194"/>
    <w:rsid w:val="00966F33"/>
    <w:rsid w:val="009764DD"/>
    <w:rsid w:val="009879AE"/>
    <w:rsid w:val="009C43A8"/>
    <w:rsid w:val="009E26E4"/>
    <w:rsid w:val="00A01444"/>
    <w:rsid w:val="00A2303A"/>
    <w:rsid w:val="00A41944"/>
    <w:rsid w:val="00A80818"/>
    <w:rsid w:val="00A85F62"/>
    <w:rsid w:val="00AA37C3"/>
    <w:rsid w:val="00AC1EA1"/>
    <w:rsid w:val="00AE42C4"/>
    <w:rsid w:val="00AF6E6C"/>
    <w:rsid w:val="00B0234F"/>
    <w:rsid w:val="00B0577B"/>
    <w:rsid w:val="00B127E4"/>
    <w:rsid w:val="00B336CC"/>
    <w:rsid w:val="00B37AE6"/>
    <w:rsid w:val="00B446CD"/>
    <w:rsid w:val="00B4782D"/>
    <w:rsid w:val="00B55048"/>
    <w:rsid w:val="00B67E2D"/>
    <w:rsid w:val="00B768B5"/>
    <w:rsid w:val="00B86EA2"/>
    <w:rsid w:val="00C03113"/>
    <w:rsid w:val="00C03234"/>
    <w:rsid w:val="00C20F9F"/>
    <w:rsid w:val="00C40962"/>
    <w:rsid w:val="00C46424"/>
    <w:rsid w:val="00C73BAC"/>
    <w:rsid w:val="00C76440"/>
    <w:rsid w:val="00C93A4D"/>
    <w:rsid w:val="00CD1A1C"/>
    <w:rsid w:val="00CD6606"/>
    <w:rsid w:val="00CE51BB"/>
    <w:rsid w:val="00D01A04"/>
    <w:rsid w:val="00D046A1"/>
    <w:rsid w:val="00D34F81"/>
    <w:rsid w:val="00D40BBD"/>
    <w:rsid w:val="00D61218"/>
    <w:rsid w:val="00D65273"/>
    <w:rsid w:val="00D73831"/>
    <w:rsid w:val="00D82C32"/>
    <w:rsid w:val="00DA282B"/>
    <w:rsid w:val="00DA2F56"/>
    <w:rsid w:val="00DB52BE"/>
    <w:rsid w:val="00DD7315"/>
    <w:rsid w:val="00E15E12"/>
    <w:rsid w:val="00E16B90"/>
    <w:rsid w:val="00E21307"/>
    <w:rsid w:val="00E333D2"/>
    <w:rsid w:val="00E412A6"/>
    <w:rsid w:val="00E45D1E"/>
    <w:rsid w:val="00E5217F"/>
    <w:rsid w:val="00E555B2"/>
    <w:rsid w:val="00E6695C"/>
    <w:rsid w:val="00E717D1"/>
    <w:rsid w:val="00E866B0"/>
    <w:rsid w:val="00E92CA3"/>
    <w:rsid w:val="00EA19C8"/>
    <w:rsid w:val="00EA41CE"/>
    <w:rsid w:val="00EA5410"/>
    <w:rsid w:val="00EC1EBA"/>
    <w:rsid w:val="00ED146E"/>
    <w:rsid w:val="00ED495B"/>
    <w:rsid w:val="00EE61DC"/>
    <w:rsid w:val="00EF3B27"/>
    <w:rsid w:val="00F417A1"/>
    <w:rsid w:val="00F6313E"/>
    <w:rsid w:val="00F814DF"/>
    <w:rsid w:val="00FA648A"/>
    <w:rsid w:val="00FB3853"/>
    <w:rsid w:val="00FE2BBE"/>
    <w:rsid w:val="00FE7CDE"/>
    <w:rsid w:val="00FF124B"/>
    <w:rsid w:val="00FF51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6"/>
      <w:jc w:val="both"/>
      <w:outlineLvl w:val="0"/>
    </w:pPr>
    <w:rPr>
      <w:i/>
      <w:lang w:val="en-GB"/>
    </w:rPr>
  </w:style>
  <w:style w:type="paragraph" w:styleId="Heading2">
    <w:name w:val="heading 2"/>
    <w:basedOn w:val="Normal"/>
    <w:next w:val="Normal"/>
    <w:qFormat/>
    <w:pPr>
      <w:keepNext/>
      <w:ind w:right="26"/>
      <w:jc w:val="both"/>
      <w:outlineLvl w:val="1"/>
    </w:pPr>
    <w:rPr>
      <w:i/>
      <w:szCs w:val="25"/>
      <w:u w:val="single"/>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lang w:eastAsia="en-US"/>
    </w:rPr>
  </w:style>
  <w:style w:type="character" w:default="1" w:styleId="DefaultParagraphFont">
    <w:name w:val="Default Paragraph Font"/>
    <w:aliases w:val=" Char Char1"/>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customStyle="1" w:styleId="Default">
    <w:name w:val="Default"/>
    <w:pPr>
      <w:autoSpaceDE w:val="0"/>
      <w:autoSpaceDN w:val="0"/>
      <w:adjustRightInd w:val="0"/>
    </w:pPr>
    <w:rPr>
      <w:rFonts w:ascii="Verdana" w:hAnsi="Verdana"/>
      <w:color w:val="000000"/>
      <w:sz w:val="24"/>
      <w:szCs w:val="24"/>
    </w:rPr>
  </w:style>
  <w:style w:type="paragraph" w:styleId="BodyText">
    <w:name w:val="Body Text"/>
    <w:aliases w:val="Body Text1,body text,contents,heading_txt,bodytxy2,Body Text - Level 2,bt,??2,Oracle Response,sp,sbs,block text,bt4,body text4,bt5,body text5,bt1,body text1,Resume Text,BODY TEXT,txt1,T1,Title 1,bullet title,t,Block text"/>
    <w:basedOn w:val="Normal"/>
    <w:link w:val="BodyTextChar1"/>
    <w:pPr>
      <w:spacing w:after="120"/>
    </w:pPr>
    <w:rPr>
      <w:rFonts w:ascii="Microsoft Sans Serif" w:hAnsi="Microsoft Sans Serif"/>
    </w:rPr>
  </w:style>
  <w:style w:type="paragraph" w:styleId="BodyText2">
    <w:name w:val="Body Text 2"/>
    <w:basedOn w:val="Normal"/>
    <w:link w:val="BodyText2Char"/>
    <w:pPr>
      <w:widowControl w:val="0"/>
      <w:suppressAutoHyphens/>
    </w:pPr>
    <w:rPr>
      <w:rFonts w:ascii="Tahoma" w:hAnsi="Tahoma" w:cs="Tahoma"/>
      <w:color w:val="000000"/>
      <w:sz w:val="20"/>
      <w:szCs w:val="20"/>
    </w:rPr>
  </w:style>
  <w:style w:type="paragraph" w:customStyle="1" w:styleId="a0">
    <w:name w:val="Γιάννης α β"/>
    <w:basedOn w:val="Normal"/>
    <w:pPr>
      <w:tabs>
        <w:tab w:val="left" w:pos="709"/>
        <w:tab w:val="left" w:pos="1136"/>
      </w:tabs>
      <w:spacing w:line="300" w:lineRule="exact"/>
      <w:ind w:firstLine="710"/>
      <w:jc w:val="both"/>
    </w:pPr>
    <w:rPr>
      <w:rFonts w:ascii="Verdana" w:hAnsi="Verdana" w:cs="Courier New"/>
      <w:bCs/>
      <w:spacing w:val="6"/>
      <w:sz w:val="22"/>
      <w:szCs w:val="22"/>
    </w:rPr>
  </w:style>
  <w:style w:type="paragraph" w:styleId="BodyText3">
    <w:name w:val="Body Text 3"/>
    <w:basedOn w:val="Normal"/>
    <w:pPr>
      <w:spacing w:after="120"/>
    </w:pPr>
    <w:rPr>
      <w:sz w:val="16"/>
      <w:szCs w:val="16"/>
    </w:rPr>
  </w:style>
  <w:style w:type="paragraph" w:customStyle="1" w:styleId="a1">
    <w:name w:val="Στυλ"/>
    <w:pPr>
      <w:widowControl w:val="0"/>
      <w:autoSpaceDE w:val="0"/>
      <w:autoSpaceDN w:val="0"/>
      <w:adjustRightInd w:val="0"/>
    </w:pPr>
    <w:rPr>
      <w:rFonts w:ascii="Arial" w:hAnsi="Arial" w:cs="Arial"/>
      <w:sz w:val="24"/>
      <w:szCs w:val="24"/>
    </w:rPr>
  </w:style>
  <w:style w:type="paragraph" w:styleId="BodyTextIndent">
    <w:name w:val="Body Text Indent"/>
    <w:basedOn w:val="Normal"/>
    <w:pPr>
      <w:spacing w:after="120"/>
      <w:ind w:left="283"/>
    </w:pPr>
  </w:style>
  <w:style w:type="character" w:styleId="FootnoteReference">
    <w:name w:val="footnote reference"/>
    <w:aliases w:val="Footnote symbol,Footnote,Footnote reference number,note TESI,Footnote Reference Number,E FNZ,-E Fußnotenzeichen,Footnote#,Times 10 Point,Exposant 3 Point,Ref,de nota al pie,SUPERS,EN Footnote Reference,-E Fuίnotenzeichen,Fussnota"/>
    <w:basedOn w:val="DefaultParagraphFont"/>
    <w:semiHidden/>
    <w:rPr>
      <w:rFonts w:ascii="Times New Roman" w:hAnsi="Times New Roman" w:cs="Times New Roman"/>
      <w:spacing w:val="0"/>
      <w:w w:val="100"/>
      <w:sz w:val="16"/>
      <w:szCs w:val="16"/>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Κείμενο υποσημείωσης-KATERINA Char,Κείμενο υποσημείωσης Char1 Char Char"/>
    <w:basedOn w:val="Normal"/>
    <w:link w:val="FootnoteTextChar"/>
    <w:semiHidden/>
    <w:rPr>
      <w:rFonts w:ascii="Microsoft Sans Serif" w:hAnsi="Microsoft Sans Serif"/>
      <w:sz w:val="20"/>
      <w:szCs w:val="20"/>
    </w:rPr>
  </w:style>
  <w:style w:type="paragraph" w:customStyle="1" w:styleId="a2">
    <w:name w:val="Παράγραφος λίστας"/>
    <w:basedOn w:val="Normal"/>
    <w:qFormat/>
    <w:pPr>
      <w:spacing w:after="200" w:line="276" w:lineRule="auto"/>
      <w:ind w:left="720"/>
    </w:pPr>
    <w:rPr>
      <w:rFonts w:ascii="Calibri" w:eastAsia="Calibri" w:hAnsi="Calibri"/>
      <w:sz w:val="22"/>
      <w:szCs w:val="22"/>
      <w:lang w:eastAsia="en-US"/>
    </w:rPr>
  </w:style>
  <w:style w:type="paragraph" w:customStyle="1" w:styleId="ParaNo">
    <w:name w:val="ParaNo."/>
    <w:basedOn w:val="Normal"/>
    <w:pPr>
      <w:numPr>
        <w:numId w:val="19"/>
      </w:numPr>
      <w:tabs>
        <w:tab w:val="left" w:pos="737"/>
      </w:tabs>
    </w:pPr>
    <w:rPr>
      <w:szCs w:val="20"/>
      <w:lang w:val="fr-CH" w:eastAsia="en-US"/>
    </w:rPr>
  </w:style>
  <w:style w:type="character" w:styleId="PageNumber">
    <w:name w:val="page number"/>
    <w:basedOn w:val="DefaultParagraphFont"/>
    <w:rPr>
      <w:rFonts w:cs="Times New Roman"/>
    </w:rPr>
  </w:style>
  <w:style w:type="paragraph" w:styleId="Footer">
    <w:name w:val="footer"/>
    <w:basedOn w:val="Normal"/>
    <w:pPr>
      <w:tabs>
        <w:tab w:val="center" w:pos="4153"/>
        <w:tab w:val="right" w:pos="8306"/>
      </w:tabs>
    </w:pPr>
    <w:rPr>
      <w:rFonts w:ascii="Microsoft Sans Serif" w:hAnsi="Microsoft Sans Serif"/>
    </w:rPr>
  </w:style>
  <w:style w:type="paragraph" w:styleId="Caption">
    <w:name w:val="caption"/>
    <w:basedOn w:val="Normal"/>
    <w:next w:val="Normal"/>
    <w:qFormat/>
    <w:pPr>
      <w:autoSpaceDE w:val="0"/>
      <w:autoSpaceDN w:val="0"/>
      <w:adjustRightInd w:val="0"/>
      <w:ind w:right="26"/>
      <w:jc w:val="both"/>
    </w:pPr>
    <w:rPr>
      <w:i/>
      <w:sz w:val="20"/>
      <w:lang w:val="en-GB"/>
    </w:rPr>
  </w:style>
  <w:style w:type="paragraph" w:styleId="BalloonText">
    <w:name w:val="Balloon Text"/>
    <w:basedOn w:val="Normal"/>
    <w:semiHidden/>
    <w:rsid w:val="00E866B0"/>
    <w:rPr>
      <w:rFonts w:ascii="Tahoma" w:hAnsi="Tahoma" w:cs="Tahoma"/>
      <w:sz w:val="16"/>
      <w:szCs w:val="16"/>
    </w:rPr>
  </w:style>
  <w:style w:type="character" w:styleId="CommentReference">
    <w:name w:val="annotation reference"/>
    <w:basedOn w:val="DefaultParagraphFont"/>
    <w:rsid w:val="00144B05"/>
    <w:rPr>
      <w:rFonts w:cs="Times New Roman"/>
      <w:sz w:val="16"/>
      <w:szCs w:val="16"/>
    </w:rPr>
  </w:style>
  <w:style w:type="paragraph" w:styleId="CommentText">
    <w:name w:val="annotation text"/>
    <w:basedOn w:val="Normal"/>
    <w:link w:val="CommentTextChar"/>
    <w:rsid w:val="00144B05"/>
  </w:style>
  <w:style w:type="character" w:customStyle="1" w:styleId="CommentTextChar">
    <w:name w:val="Comment Text Char"/>
    <w:basedOn w:val="DefaultParagraphFont"/>
    <w:link w:val="CommentText"/>
    <w:locked/>
    <w:rsid w:val="00144B05"/>
    <w:rPr>
      <w:sz w:val="24"/>
      <w:szCs w:val="24"/>
      <w:lang w:val="el-GR" w:eastAsia="el-GR" w:bidi="ar-SA"/>
    </w:rPr>
  </w:style>
  <w:style w:type="paragraph" w:styleId="Title">
    <w:name w:val="Title"/>
    <w:basedOn w:val="Normal"/>
    <w:next w:val="Subtitle"/>
    <w:qFormat/>
    <w:rsid w:val="00144B05"/>
    <w:pPr>
      <w:suppressAutoHyphens/>
      <w:jc w:val="center"/>
    </w:pPr>
    <w:rPr>
      <w:rFonts w:ascii="Arial Narrow" w:hAnsi="Arial Narrow"/>
      <w:b/>
      <w:bCs/>
      <w:u w:val="single"/>
      <w:lang w:val="en-US" w:eastAsia="ar-SA"/>
    </w:rPr>
  </w:style>
  <w:style w:type="paragraph" w:styleId="Subtitle">
    <w:name w:val="Subtitle"/>
    <w:basedOn w:val="Normal"/>
    <w:qFormat/>
    <w:rsid w:val="00144B05"/>
    <w:pPr>
      <w:spacing w:after="60"/>
      <w:jc w:val="center"/>
      <w:outlineLvl w:val="1"/>
    </w:pPr>
    <w:rPr>
      <w:rFonts w:ascii="Arial" w:hAnsi="Arial" w:cs="Arial"/>
    </w:rPr>
  </w:style>
  <w:style w:type="paragraph" w:customStyle="1" w:styleId="a">
    <w:basedOn w:val="Normal"/>
    <w:next w:val="Normal"/>
    <w:link w:val="DefaultParagraphFont"/>
    <w:rsid w:val="005B2D35"/>
    <w:pPr>
      <w:spacing w:after="160" w:line="240" w:lineRule="exact"/>
    </w:pPr>
    <w:rPr>
      <w:rFonts w:ascii="Tahoma" w:hAnsi="Tahoma"/>
      <w:szCs w:val="20"/>
      <w:lang w:val="en-US" w:eastAsia="en-US"/>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1,Char Char"/>
    <w:basedOn w:val="DefaultParagraphFont"/>
    <w:link w:val="FootnoteText"/>
    <w:semiHidden/>
    <w:locked/>
    <w:rsid w:val="005B2D35"/>
    <w:rPr>
      <w:rFonts w:ascii="Microsoft Sans Serif" w:hAnsi="Microsoft Sans Serif"/>
      <w:lang w:val="el-GR" w:eastAsia="el-GR" w:bidi="ar-SA"/>
    </w:rPr>
  </w:style>
  <w:style w:type="character" w:customStyle="1" w:styleId="at2">
    <w:name w:val="a__t2"/>
    <w:basedOn w:val="DefaultParagraphFont"/>
    <w:rsid w:val="005B2D35"/>
  </w:style>
  <w:style w:type="character" w:customStyle="1" w:styleId="FootnoteCharacters">
    <w:name w:val="Footnote Characters"/>
    <w:basedOn w:val="DefaultParagraphFont"/>
    <w:rsid w:val="00115FC9"/>
    <w:rPr>
      <w:vertAlign w:val="superscript"/>
    </w:rPr>
  </w:style>
  <w:style w:type="character" w:customStyle="1" w:styleId="BodyTextChar1">
    <w:name w:val="Body Text Char1"/>
    <w:aliases w:val="Body Text1 Char1,body text Char1,contents Char1,heading_txt Char1,bodytxy2 Char1,Body Text - Level 2 Char1,bt Char1,??2 Char1,Oracle Response Char1,sp Char1,sbs Char1,block text Char1,bt4 Char1,body text4 Char1,bt5 Char1,body text5 Char1"/>
    <w:basedOn w:val="DefaultParagraphFont"/>
    <w:link w:val="BodyText"/>
    <w:semiHidden/>
    <w:locked/>
    <w:rsid w:val="00161C4C"/>
    <w:rPr>
      <w:rFonts w:ascii="Microsoft Sans Serif" w:hAnsi="Microsoft Sans Serif"/>
      <w:sz w:val="24"/>
      <w:szCs w:val="24"/>
      <w:lang w:val="el-GR" w:eastAsia="el-GR" w:bidi="ar-SA"/>
    </w:rPr>
  </w:style>
  <w:style w:type="character" w:customStyle="1" w:styleId="BodyText2Char">
    <w:name w:val="Body Text 2 Char"/>
    <w:basedOn w:val="DefaultParagraphFont"/>
    <w:link w:val="BodyText2"/>
    <w:semiHidden/>
    <w:locked/>
    <w:rsid w:val="00161C4C"/>
    <w:rPr>
      <w:rFonts w:ascii="Tahoma" w:hAnsi="Tahoma" w:cs="Tahoma"/>
      <w:color w:val="000000"/>
      <w:lang w:val="el-GR" w:eastAsia="el-GR" w:bidi="ar-SA"/>
    </w:rPr>
  </w:style>
  <w:style w:type="character" w:styleId="Hyperlink">
    <w:name w:val="Hyperlink"/>
    <w:basedOn w:val="DefaultParagraphFont"/>
    <w:rsid w:val="00161C4C"/>
    <w:rPr>
      <w:color w:val="0000FF"/>
      <w:u w:val="single"/>
    </w:rPr>
  </w:style>
  <w:style w:type="character" w:customStyle="1" w:styleId="BodyTextChar">
    <w:name w:val="Body Text Char"/>
    <w:aliases w:val="Body Text1 Char,body text Char,contents Char,heading_txt Char,bodytxy2 Char,Body Text - Level 2 Char,bt Char,??2 Char,Oracle Response Char,sp Char,sbs Char,block text Char,bt4 Char,body text4 Char,bt5 Char,body text5 Char,bt1 Char,T1 Cha"/>
    <w:basedOn w:val="DefaultParagraphFont"/>
    <w:semiHidden/>
    <w:locked/>
    <w:rsid w:val="006847BA"/>
    <w:rPr>
      <w:rFonts w:cs="Times New Roman"/>
      <w:sz w:val="24"/>
      <w:szCs w:val="24"/>
    </w:rPr>
  </w:style>
  <w:style w:type="character" w:customStyle="1" w:styleId="hps">
    <w:name w:val="hps"/>
    <w:basedOn w:val="DefaultParagraphFont"/>
    <w:rsid w:val="00684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fin.gr/content-api/f/binaryChannel/minfin/datastore/d9/ba/71/d9ba71c2ceb9e121f132d6a17c836840a88ec302/application/pdf/200901002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30247</Words>
  <Characters>163340</Characters>
  <Application>Microsoft Office Word</Application>
  <DocSecurity>4</DocSecurity>
  <Lines>1361</Lines>
  <Paragraphs>386</Paragraphs>
  <ScaleCrop>false</ScaleCrop>
  <HeadingPairs>
    <vt:vector size="2" baseType="variant">
      <vt:variant>
        <vt:lpstr>Title</vt:lpstr>
      </vt:variant>
      <vt:variant>
        <vt:i4>1</vt:i4>
      </vt:variant>
    </vt:vector>
  </HeadingPairs>
  <TitlesOfParts>
    <vt:vector size="1" baseType="lpstr">
      <vt:lpstr>INTRODUCTION</vt:lpstr>
    </vt:vector>
  </TitlesOfParts>
  <Company>..</Company>
  <LinksUpToDate>false</LinksUpToDate>
  <CharactersWithSpaces>193201</CharactersWithSpaces>
  <SharedDoc>false</SharedDoc>
  <HLinks>
    <vt:vector size="6" baseType="variant">
      <vt:variant>
        <vt:i4>3407918</vt:i4>
      </vt:variant>
      <vt:variant>
        <vt:i4>9</vt:i4>
      </vt:variant>
      <vt:variant>
        <vt:i4>0</vt:i4>
      </vt:variant>
      <vt:variant>
        <vt:i4>5</vt:i4>
      </vt:variant>
      <vt:variant>
        <vt:lpwstr>http://www.minfin.gr/content-api/f/binaryChannel/minfin/datastore/d9/ba/71/d9ba71c2ceb9e121f132d6a17c836840a88ec302/application/pdf/20090100227.pdf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c:creator>
  <cp:keywords/>
  <dc:description/>
  <cp:lastModifiedBy> </cp:lastModifiedBy>
  <cp:revision>2</cp:revision>
  <cp:lastPrinted>2012-04-25T07:08:00Z</cp:lastPrinted>
  <dcterms:created xsi:type="dcterms:W3CDTF">2012-08-31T07:37:00Z</dcterms:created>
  <dcterms:modified xsi:type="dcterms:W3CDTF">2012-08-31T07:37:00Z</dcterms:modified>
</cp:coreProperties>
</file>