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69" w:rsidRDefault="006F7C69" w:rsidP="009C73E8">
      <w:pPr>
        <w:pStyle w:val="style2"/>
        <w:jc w:val="center"/>
        <w:rPr>
          <w:b/>
          <w:bCs/>
        </w:rPr>
      </w:pPr>
    </w:p>
    <w:p w:rsidR="00A068FB" w:rsidRDefault="00A068FB" w:rsidP="009C73E8">
      <w:pPr>
        <w:pStyle w:val="style2"/>
        <w:jc w:val="center"/>
        <w:rPr>
          <w:b/>
          <w:bCs/>
        </w:rPr>
      </w:pPr>
      <w:r>
        <w:rPr>
          <w:b/>
          <w:bCs/>
        </w:rPr>
        <w:t>CONSULTATION FOR STATES ON TREATY BODY STRENGTHENING</w:t>
      </w:r>
      <w:r>
        <w:rPr>
          <w:b/>
          <w:bCs/>
        </w:rPr>
        <w:br/>
      </w:r>
      <w:r w:rsidR="007E49F9">
        <w:rPr>
          <w:b/>
          <w:bCs/>
        </w:rPr>
        <w:t>New York</w:t>
      </w:r>
      <w:r>
        <w:rPr>
          <w:b/>
          <w:bCs/>
        </w:rPr>
        <w:t xml:space="preserve">, </w:t>
      </w:r>
      <w:r w:rsidR="007E49F9">
        <w:rPr>
          <w:b/>
          <w:bCs/>
        </w:rPr>
        <w:t xml:space="preserve">2 </w:t>
      </w:r>
      <w:r>
        <w:rPr>
          <w:b/>
          <w:bCs/>
        </w:rPr>
        <w:t xml:space="preserve">and </w:t>
      </w:r>
      <w:r w:rsidR="007E49F9">
        <w:rPr>
          <w:b/>
          <w:bCs/>
        </w:rPr>
        <w:t xml:space="preserve">3 April </w:t>
      </w:r>
      <w:r>
        <w:rPr>
          <w:b/>
          <w:bCs/>
        </w:rPr>
        <w:t>2012</w:t>
      </w:r>
    </w:p>
    <w:p w:rsidR="00A068FB" w:rsidRDefault="00A068FB" w:rsidP="00BB607F">
      <w:pPr>
        <w:rPr>
          <w:b/>
          <w:u w:val="single"/>
        </w:rPr>
      </w:pPr>
    </w:p>
    <w:p w:rsidR="00A068FB" w:rsidRPr="00427E9C" w:rsidRDefault="00A068FB" w:rsidP="00BB607F">
      <w:pPr>
        <w:rPr>
          <w:rFonts w:cs="Calibri"/>
          <w:b/>
          <w:u w:val="single"/>
        </w:rPr>
      </w:pPr>
      <w:r w:rsidRPr="00427E9C">
        <w:rPr>
          <w:rFonts w:cs="Calibri"/>
          <w:b/>
          <w:u w:val="single"/>
        </w:rPr>
        <w:t>Introduction</w:t>
      </w:r>
    </w:p>
    <w:p w:rsidR="00A068FB" w:rsidRPr="00427E9C" w:rsidRDefault="00A068FB" w:rsidP="00BB607F">
      <w:pPr>
        <w:rPr>
          <w:rFonts w:cs="Calibri"/>
          <w:b/>
          <w:u w:val="single"/>
        </w:rPr>
      </w:pPr>
    </w:p>
    <w:p w:rsidR="006D29F6" w:rsidRDefault="000C0B27" w:rsidP="00DE38E7">
      <w:pPr>
        <w:pStyle w:val="ListParagraph"/>
        <w:numPr>
          <w:ilvl w:val="0"/>
          <w:numId w:val="5"/>
        </w:numPr>
        <w:tabs>
          <w:tab w:val="left" w:pos="567"/>
        </w:tabs>
        <w:ind w:left="0" w:firstLine="11"/>
        <w:jc w:val="both"/>
        <w:rPr>
          <w:rFonts w:cs="Calibri"/>
          <w:iCs/>
        </w:rPr>
      </w:pPr>
      <w:r>
        <w:rPr>
          <w:rFonts w:cs="Calibri"/>
        </w:rPr>
        <w:t>Following the call of the High Commissioner for Human Rights in 2009 to all stakeholders to reflect on ways and means to strengthen the treaty body system, several consultations were organized, including for States in Sion (Switzerland) on 12 and 13 May 2011, and in Geneva on 7 and 8 February 2012.</w:t>
      </w:r>
      <w:r w:rsidR="00964C48" w:rsidRPr="00427E9C">
        <w:rPr>
          <w:rFonts w:cs="Calibri"/>
        </w:rPr>
        <w:t xml:space="preserve"> </w:t>
      </w:r>
      <w:r w:rsidR="00A068FB" w:rsidRPr="00427E9C">
        <w:rPr>
          <w:rFonts w:cs="Calibri"/>
        </w:rPr>
        <w:t xml:space="preserve">A similar event </w:t>
      </w:r>
      <w:r w:rsidR="00DE38E7">
        <w:rPr>
          <w:rFonts w:cs="Calibri"/>
        </w:rPr>
        <w:t>was also organized</w:t>
      </w:r>
      <w:r w:rsidR="007E49F9">
        <w:rPr>
          <w:rFonts w:cs="Calibri"/>
        </w:rPr>
        <w:t xml:space="preserve"> in New York</w:t>
      </w:r>
      <w:r w:rsidR="00A068FB" w:rsidRPr="00427E9C">
        <w:rPr>
          <w:rFonts w:cs="Calibri"/>
        </w:rPr>
        <w:t xml:space="preserve"> on 2 and 3 April 2012</w:t>
      </w:r>
      <w:r w:rsidR="00E577D3">
        <w:rPr>
          <w:rFonts w:cs="Calibri"/>
        </w:rPr>
        <w:t xml:space="preserve"> which</w:t>
      </w:r>
      <w:r w:rsidR="00A068FB" w:rsidRPr="00427E9C">
        <w:rPr>
          <w:rFonts w:cs="Calibri"/>
        </w:rPr>
        <w:t xml:space="preserve"> was opened by </w:t>
      </w:r>
      <w:r w:rsidR="00EE077E">
        <w:rPr>
          <w:rFonts w:cs="Calibri"/>
        </w:rPr>
        <w:t xml:space="preserve">the Secretary-General, Mr Ban Ki-moon, the President of the General Assembly, </w:t>
      </w:r>
      <w:r w:rsidR="00EE077E" w:rsidRPr="00B433ED">
        <w:rPr>
          <w:rFonts w:cs="Calibri"/>
        </w:rPr>
        <w:t xml:space="preserve">Mr Nassir </w:t>
      </w:r>
      <w:r w:rsidR="00EE077E" w:rsidRPr="00A30C02">
        <w:rPr>
          <w:rFonts w:cs="Calibri"/>
        </w:rPr>
        <w:t>Abdulaziz Al-Nasser</w:t>
      </w:r>
      <w:r w:rsidR="00EE077E">
        <w:rPr>
          <w:rFonts w:cs="Calibri"/>
        </w:rPr>
        <w:t>,</w:t>
      </w:r>
      <w:r w:rsidR="00EE077E" w:rsidRPr="00427E9C">
        <w:rPr>
          <w:rFonts w:cs="Calibri"/>
        </w:rPr>
        <w:t xml:space="preserve"> </w:t>
      </w:r>
      <w:r w:rsidR="00A068FB" w:rsidRPr="00427E9C">
        <w:rPr>
          <w:rFonts w:cs="Calibri"/>
        </w:rPr>
        <w:t xml:space="preserve">the High Commissioner for Human Rights, Ms </w:t>
      </w:r>
      <w:r w:rsidR="007E49F9">
        <w:rPr>
          <w:rFonts w:cs="Calibri"/>
        </w:rPr>
        <w:t>Navi Pillay</w:t>
      </w:r>
      <w:r w:rsidR="00A068FB" w:rsidRPr="00427E9C">
        <w:rPr>
          <w:rFonts w:cs="Calibri"/>
        </w:rPr>
        <w:t xml:space="preserve">, </w:t>
      </w:r>
      <w:r w:rsidR="00DE38E7">
        <w:rPr>
          <w:rFonts w:cs="Calibri"/>
        </w:rPr>
        <w:t>and</w:t>
      </w:r>
      <w:r w:rsidR="00DE38E7" w:rsidRPr="00A30C02">
        <w:rPr>
          <w:rFonts w:cs="Calibri"/>
          <w:bCs/>
        </w:rPr>
        <w:t xml:space="preserve"> </w:t>
      </w:r>
      <w:r w:rsidR="00DE38E7">
        <w:rPr>
          <w:rFonts w:cs="Calibri"/>
          <w:bCs/>
        </w:rPr>
        <w:t>Mr</w:t>
      </w:r>
      <w:r w:rsidR="00DE38E7" w:rsidRPr="00A30C02">
        <w:rPr>
          <w:rFonts w:cs="Calibri"/>
          <w:bCs/>
        </w:rPr>
        <w:t xml:space="preserve"> </w:t>
      </w:r>
      <w:r w:rsidR="00DE38E7" w:rsidRPr="00A30C02">
        <w:rPr>
          <w:rFonts w:cs="Calibri"/>
          <w:iCs/>
        </w:rPr>
        <w:t>Shaaban M. Shaaban, Under-Secretary-General, Department for General Assembly and Conference Management</w:t>
      </w:r>
      <w:r w:rsidR="00DE38E7">
        <w:rPr>
          <w:rFonts w:cs="Calibri"/>
          <w:iCs/>
        </w:rPr>
        <w:t xml:space="preserve">. </w:t>
      </w:r>
    </w:p>
    <w:p w:rsidR="00EE077E" w:rsidRPr="00EE077E" w:rsidRDefault="00EE077E" w:rsidP="00EE077E">
      <w:pPr>
        <w:pStyle w:val="ListParagraph"/>
        <w:tabs>
          <w:tab w:val="left" w:pos="567"/>
        </w:tabs>
        <w:ind w:left="11"/>
        <w:jc w:val="both"/>
        <w:rPr>
          <w:rFonts w:asciiTheme="minorHAnsi" w:hAnsiTheme="minorHAnsi" w:cstheme="minorHAnsi"/>
          <w:iCs/>
        </w:rPr>
      </w:pPr>
    </w:p>
    <w:p w:rsidR="00EE077E" w:rsidRPr="00EE077E" w:rsidRDefault="00EE077E" w:rsidP="00EE077E">
      <w:pPr>
        <w:pStyle w:val="ListParagraph"/>
        <w:numPr>
          <w:ilvl w:val="0"/>
          <w:numId w:val="5"/>
        </w:numPr>
        <w:tabs>
          <w:tab w:val="left" w:pos="567"/>
        </w:tabs>
        <w:ind w:left="0" w:firstLine="11"/>
        <w:jc w:val="both"/>
        <w:rPr>
          <w:rFonts w:cs="Calibri"/>
        </w:rPr>
      </w:pPr>
      <w:r w:rsidRPr="00A30C02">
        <w:rPr>
          <w:rFonts w:cs="Calibri"/>
        </w:rPr>
        <w:t>The Secretary-General</w:t>
      </w:r>
      <w:r>
        <w:rPr>
          <w:rFonts w:cs="Calibri"/>
        </w:rPr>
        <w:t xml:space="preserve"> </w:t>
      </w:r>
      <w:r w:rsidRPr="00666748">
        <w:rPr>
          <w:rFonts w:cs="Calibri"/>
          <w:lang w:val="en"/>
        </w:rPr>
        <w:t>commend</w:t>
      </w:r>
      <w:r>
        <w:rPr>
          <w:rFonts w:cs="Calibri"/>
          <w:lang w:val="en"/>
        </w:rPr>
        <w:t>ed</w:t>
      </w:r>
      <w:r w:rsidRPr="00666748">
        <w:rPr>
          <w:rFonts w:cs="Calibri"/>
          <w:lang w:val="en"/>
        </w:rPr>
        <w:t xml:space="preserve"> the High Commissioner for launching this crucial initiative in 2009 and for seeking the views of all stakeholders in an open and transparent process.</w:t>
      </w:r>
      <w:r>
        <w:rPr>
          <w:rFonts w:cs="Calibri"/>
          <w:lang w:val="en"/>
        </w:rPr>
        <w:t xml:space="preserve"> Referring to the </w:t>
      </w:r>
      <w:r w:rsidRPr="00666748">
        <w:rPr>
          <w:rFonts w:cs="Calibri"/>
          <w:lang w:val="en"/>
        </w:rPr>
        <w:t>rapid growth in the number of international human rights treaties</w:t>
      </w:r>
      <w:r>
        <w:rPr>
          <w:rFonts w:cs="Calibri"/>
          <w:lang w:val="en"/>
        </w:rPr>
        <w:t xml:space="preserve"> and </w:t>
      </w:r>
      <w:r w:rsidRPr="00666748">
        <w:rPr>
          <w:rFonts w:cs="Calibri"/>
          <w:lang w:val="en"/>
        </w:rPr>
        <w:t>corresponding expansion of rights holders protected under international law</w:t>
      </w:r>
      <w:r>
        <w:rPr>
          <w:rFonts w:cs="Calibri"/>
          <w:lang w:val="en"/>
        </w:rPr>
        <w:t xml:space="preserve">, the Secretary-General stressed that </w:t>
      </w:r>
      <w:r w:rsidRPr="00666748">
        <w:rPr>
          <w:rFonts w:cs="Calibri"/>
          <w:lang w:val="en"/>
        </w:rPr>
        <w:t xml:space="preserve">the systemic growth of the treaty body system has also created increasing structural difficulties for </w:t>
      </w:r>
      <w:r w:rsidRPr="0083533C">
        <w:rPr>
          <w:rFonts w:cs="Calibri"/>
          <w:lang w:val="en"/>
        </w:rPr>
        <w:t>the treaty bodies themselves, most notably a heavy backlog of reports and individual communications.</w:t>
      </w:r>
      <w:r>
        <w:rPr>
          <w:rFonts w:cs="Calibri"/>
          <w:lang w:val="en"/>
        </w:rPr>
        <w:t xml:space="preserve"> Acknowledging the </w:t>
      </w:r>
      <w:r w:rsidRPr="0083533C">
        <w:rPr>
          <w:rFonts w:cs="Calibri"/>
          <w:lang w:val="en"/>
        </w:rPr>
        <w:t xml:space="preserve">profound consequences </w:t>
      </w:r>
      <w:r>
        <w:rPr>
          <w:rFonts w:cs="Calibri"/>
          <w:lang w:val="en"/>
        </w:rPr>
        <w:t xml:space="preserve">of the global financial crisis </w:t>
      </w:r>
      <w:r w:rsidRPr="0083533C">
        <w:rPr>
          <w:rFonts w:cs="Calibri"/>
          <w:lang w:val="en"/>
        </w:rPr>
        <w:t>for c</w:t>
      </w:r>
      <w:r>
        <w:rPr>
          <w:rFonts w:cs="Calibri"/>
          <w:lang w:val="en"/>
        </w:rPr>
        <w:t>ountries’ economies and budgets, he underscored however that for</w:t>
      </w:r>
      <w:r w:rsidRPr="0083533C">
        <w:rPr>
          <w:rFonts w:cs="Calibri"/>
          <w:lang w:val="en"/>
        </w:rPr>
        <w:t xml:space="preserve"> future generations to benefit from an efficient, robust and protective human rights system, current efforts to strengthen and harmonize the treaty body system need to be supported by a substantial increase in resources.</w:t>
      </w:r>
      <w:r>
        <w:rPr>
          <w:rFonts w:cs="Calibri"/>
        </w:rPr>
        <w:t xml:space="preserve"> Addressing States a</w:t>
      </w:r>
      <w:r w:rsidRPr="00EF2BBD">
        <w:rPr>
          <w:rFonts w:cs="Calibri"/>
        </w:rPr>
        <w:t xml:space="preserve">s the creators of the UN human rights system, </w:t>
      </w:r>
      <w:r>
        <w:rPr>
          <w:rFonts w:cs="Calibri"/>
        </w:rPr>
        <w:t>the Secretary-Gener</w:t>
      </w:r>
      <w:r w:rsidRPr="00A30C02">
        <w:rPr>
          <w:rFonts w:asciiTheme="minorHAnsi" w:hAnsiTheme="minorHAnsi" w:cstheme="minorHAnsi"/>
        </w:rPr>
        <w:t>al restated their responsibility to the populations under their jurisdictions -- and under the Charter -- to ensure that this framework for protection survives.</w:t>
      </w:r>
      <w:r w:rsidRPr="00A30C02">
        <w:rPr>
          <w:rFonts w:asciiTheme="minorHAnsi" w:hAnsiTheme="minorHAnsi" w:cstheme="minorHAnsi"/>
          <w:lang w:val="en"/>
        </w:rPr>
        <w:t xml:space="preserve"> In closing</w:t>
      </w:r>
      <w:r>
        <w:rPr>
          <w:rFonts w:asciiTheme="minorHAnsi" w:hAnsiTheme="minorHAnsi" w:cstheme="minorHAnsi"/>
          <w:lang w:val="en"/>
        </w:rPr>
        <w:t>,</w:t>
      </w:r>
      <w:r w:rsidRPr="00A30C02">
        <w:rPr>
          <w:rFonts w:asciiTheme="minorHAnsi" w:hAnsiTheme="minorHAnsi" w:cstheme="minorHAnsi"/>
          <w:lang w:val="en"/>
        </w:rPr>
        <w:t xml:space="preserve"> he recalled that human rights are at the heart of the UN system, and treaty bodies at the heart of the UN human rights machinery.</w:t>
      </w:r>
    </w:p>
    <w:p w:rsidR="00EE077E" w:rsidRPr="00EE077E" w:rsidRDefault="00EE077E" w:rsidP="00EE077E">
      <w:pPr>
        <w:pStyle w:val="ListParagraph"/>
        <w:tabs>
          <w:tab w:val="left" w:pos="567"/>
        </w:tabs>
        <w:ind w:left="11"/>
        <w:jc w:val="both"/>
        <w:rPr>
          <w:rFonts w:cs="Calibri"/>
        </w:rPr>
      </w:pPr>
    </w:p>
    <w:p w:rsidR="00EE077E" w:rsidRPr="00B433ED" w:rsidRDefault="00EE077E" w:rsidP="00EE077E">
      <w:pPr>
        <w:pStyle w:val="ListParagraph"/>
        <w:numPr>
          <w:ilvl w:val="0"/>
          <w:numId w:val="5"/>
        </w:numPr>
        <w:tabs>
          <w:tab w:val="left" w:pos="567"/>
        </w:tabs>
        <w:ind w:left="0" w:firstLine="11"/>
        <w:jc w:val="both"/>
        <w:rPr>
          <w:rFonts w:cs="Calibri"/>
        </w:rPr>
      </w:pPr>
      <w:r w:rsidRPr="00B433ED">
        <w:rPr>
          <w:rFonts w:cs="Calibri"/>
        </w:rPr>
        <w:t xml:space="preserve">Participants also heard an address from Mr Nassir </w:t>
      </w:r>
      <w:r w:rsidRPr="00A30C02">
        <w:rPr>
          <w:rFonts w:cs="Calibri"/>
        </w:rPr>
        <w:t>Abdulaziz Al-Nasser</w:t>
      </w:r>
      <w:r w:rsidRPr="00B433ED">
        <w:rPr>
          <w:rFonts w:cs="Calibri"/>
        </w:rPr>
        <w:t>,</w:t>
      </w:r>
      <w:r w:rsidRPr="00A30C02">
        <w:rPr>
          <w:rFonts w:cs="Calibri"/>
        </w:rPr>
        <w:t xml:space="preserve"> President of the General Assembly.</w:t>
      </w:r>
      <w:r w:rsidRPr="00B433ED">
        <w:rPr>
          <w:rFonts w:cs="Calibri"/>
        </w:rPr>
        <w:t xml:space="preserve"> Mr Al-Nass</w:t>
      </w:r>
      <w:r>
        <w:rPr>
          <w:rFonts w:cs="Calibri"/>
        </w:rPr>
        <w:t>e</w:t>
      </w:r>
      <w:r w:rsidRPr="00B433ED">
        <w:rPr>
          <w:rFonts w:cs="Calibri"/>
        </w:rPr>
        <w:t xml:space="preserve">r praised the High Commissioner for organizing this consultation in New York to engage the full </w:t>
      </w:r>
      <w:r>
        <w:rPr>
          <w:rFonts w:cs="Calibri"/>
        </w:rPr>
        <w:t xml:space="preserve">UN </w:t>
      </w:r>
      <w:r w:rsidRPr="00B433ED">
        <w:rPr>
          <w:rFonts w:cs="Calibri"/>
        </w:rPr>
        <w:t xml:space="preserve">membership in the treaty body strengthening process, especially the Member States without </w:t>
      </w:r>
      <w:r>
        <w:rPr>
          <w:rFonts w:cs="Calibri"/>
        </w:rPr>
        <w:t xml:space="preserve">a </w:t>
      </w:r>
      <w:r w:rsidRPr="00B433ED">
        <w:rPr>
          <w:rFonts w:cs="Calibri"/>
        </w:rPr>
        <w:t xml:space="preserve">permanent representation in Geneva.  Referring to the upcoming report of the High Commissioner, he trusted that the Assembly will give it the utmost attention and the consideration that it deserves following resolution 66/254 creating </w:t>
      </w:r>
      <w:r>
        <w:rPr>
          <w:rFonts w:cs="Calibri"/>
        </w:rPr>
        <w:t>“</w:t>
      </w:r>
      <w:r w:rsidRPr="00B433ED">
        <w:rPr>
          <w:rFonts w:cs="Calibri"/>
        </w:rPr>
        <w:t>the inter-governmental process of the General Assembly on strengthening and enhancing the effective functioning of the human rights treaty body system</w:t>
      </w:r>
      <w:r>
        <w:rPr>
          <w:rFonts w:cs="Calibri"/>
        </w:rPr>
        <w:t>”</w:t>
      </w:r>
      <w:r w:rsidRPr="00B433ED">
        <w:rPr>
          <w:rFonts w:cs="Calibri"/>
        </w:rPr>
        <w:t>. Mr Al-Nasser indicated that he intend</w:t>
      </w:r>
      <w:r>
        <w:rPr>
          <w:rFonts w:cs="Calibri"/>
        </w:rPr>
        <w:t>s</w:t>
      </w:r>
      <w:r w:rsidRPr="00B433ED">
        <w:rPr>
          <w:rFonts w:cs="Calibri"/>
        </w:rPr>
        <w:t xml:space="preserve"> to proceed by appointing two co-facilitators to support the process in this regard.</w:t>
      </w:r>
      <w:r w:rsidRPr="00A30C02">
        <w:rPr>
          <w:rFonts w:cs="Calibri"/>
        </w:rPr>
        <w:t xml:space="preserve"> He affirmed that his main objective </w:t>
      </w:r>
      <w:r>
        <w:rPr>
          <w:rFonts w:cs="Calibri"/>
        </w:rPr>
        <w:t>will be</w:t>
      </w:r>
      <w:r w:rsidRPr="00A30C02">
        <w:rPr>
          <w:rFonts w:cs="Calibri"/>
        </w:rPr>
        <w:t xml:space="preserve"> to build unity for this process to improve the impact of the human rights treaty bodies on rights-holders and duty-bearers at the national level by strengthening their work, while fully respecting their independence</w:t>
      </w:r>
      <w:r w:rsidRPr="00B433ED">
        <w:rPr>
          <w:rFonts w:cs="Calibri"/>
        </w:rPr>
        <w:t xml:space="preserve">. Mr Al-Nasser indicated that he will work out </w:t>
      </w:r>
      <w:r w:rsidRPr="00A30C02">
        <w:rPr>
          <w:rFonts w:cs="Calibri"/>
        </w:rPr>
        <w:t>separate informal arrangements, after consultation with Member States</w:t>
      </w:r>
      <w:r w:rsidRPr="00B433ED">
        <w:rPr>
          <w:rFonts w:cs="Calibri"/>
        </w:rPr>
        <w:t xml:space="preserve">, as requested by the resolution to allow national human rights institutions, human rights treaty bodies and relevant non-governmental organizations to provide input and expertise. </w:t>
      </w:r>
    </w:p>
    <w:p w:rsidR="00EE077E" w:rsidRPr="00A30C02" w:rsidRDefault="00EE077E" w:rsidP="00EE077E">
      <w:pPr>
        <w:pStyle w:val="ListParagraph"/>
        <w:tabs>
          <w:tab w:val="left" w:pos="567"/>
        </w:tabs>
        <w:ind w:left="11"/>
        <w:jc w:val="both"/>
        <w:rPr>
          <w:rFonts w:cs="Calibri"/>
        </w:rPr>
      </w:pPr>
    </w:p>
    <w:p w:rsidR="00EE077E" w:rsidRPr="00EE077E" w:rsidRDefault="00EE077E" w:rsidP="00EE077E">
      <w:pPr>
        <w:pStyle w:val="ListParagraph"/>
        <w:tabs>
          <w:tab w:val="left" w:pos="567"/>
        </w:tabs>
        <w:ind w:left="11"/>
        <w:jc w:val="both"/>
        <w:rPr>
          <w:rFonts w:asciiTheme="minorHAnsi" w:hAnsiTheme="minorHAnsi" w:cstheme="minorHAnsi"/>
          <w:iCs/>
        </w:rPr>
      </w:pPr>
    </w:p>
    <w:p w:rsidR="00DE38E7" w:rsidRPr="00A30C02" w:rsidRDefault="00DE38E7" w:rsidP="00DE38E7">
      <w:pPr>
        <w:pStyle w:val="ListParagraph"/>
        <w:numPr>
          <w:ilvl w:val="0"/>
          <w:numId w:val="5"/>
        </w:numPr>
        <w:tabs>
          <w:tab w:val="left" w:pos="567"/>
        </w:tabs>
        <w:ind w:left="0" w:firstLine="11"/>
        <w:jc w:val="both"/>
        <w:rPr>
          <w:rFonts w:asciiTheme="minorHAnsi" w:hAnsiTheme="minorHAnsi" w:cstheme="minorHAnsi"/>
          <w:iCs/>
        </w:rPr>
      </w:pPr>
      <w:r>
        <w:rPr>
          <w:rFonts w:cs="Calibri"/>
          <w:iCs/>
        </w:rPr>
        <w:t xml:space="preserve">Ms Pillay recalled that the ultimate goal of the </w:t>
      </w:r>
      <w:r w:rsidR="00280EBA">
        <w:rPr>
          <w:rFonts w:cs="Calibri"/>
          <w:iCs/>
        </w:rPr>
        <w:t xml:space="preserve">treaty body strengthening </w:t>
      </w:r>
      <w:r>
        <w:rPr>
          <w:rFonts w:cs="Calibri"/>
          <w:iCs/>
        </w:rPr>
        <w:t xml:space="preserve">process </w:t>
      </w:r>
      <w:r w:rsidR="00085FC0">
        <w:rPr>
          <w:rFonts w:cs="Calibri"/>
          <w:iCs/>
        </w:rPr>
        <w:t xml:space="preserve">is </w:t>
      </w:r>
      <w:r w:rsidRPr="00DE38E7">
        <w:rPr>
          <w:rFonts w:cs="Calibri"/>
          <w:iCs/>
        </w:rPr>
        <w:t>to improve the impact of treaty bodies on rights-holders and duty-bearers at the national level by strengthening their work while fully respecting their independence.</w:t>
      </w:r>
      <w:r>
        <w:rPr>
          <w:rFonts w:cs="Calibri"/>
          <w:iCs/>
        </w:rPr>
        <w:t xml:space="preserve"> She highlighted that </w:t>
      </w:r>
      <w:r w:rsidR="00085FC0">
        <w:rPr>
          <w:rFonts w:cs="Calibri"/>
          <w:iCs/>
        </w:rPr>
        <w:t>it</w:t>
      </w:r>
      <w:r w:rsidRPr="00DE38E7">
        <w:rPr>
          <w:rFonts w:cs="Calibri"/>
          <w:iCs/>
        </w:rPr>
        <w:t xml:space="preserve"> </w:t>
      </w:r>
      <w:r w:rsidR="00E577D3">
        <w:rPr>
          <w:rFonts w:cs="Calibri"/>
          <w:iCs/>
        </w:rPr>
        <w:t>also aim</w:t>
      </w:r>
      <w:r w:rsidR="00085FC0">
        <w:rPr>
          <w:rFonts w:cs="Calibri"/>
          <w:iCs/>
        </w:rPr>
        <w:t>s</w:t>
      </w:r>
      <w:r w:rsidRPr="00DE38E7">
        <w:rPr>
          <w:rFonts w:cs="Calibri"/>
          <w:iCs/>
        </w:rPr>
        <w:t xml:space="preserve"> at securing the necessary resources to support the work of the treaty bodies</w:t>
      </w:r>
      <w:r w:rsidR="00B528B6">
        <w:rPr>
          <w:rFonts w:cs="Calibri"/>
          <w:iCs/>
        </w:rPr>
        <w:t xml:space="preserve">, </w:t>
      </w:r>
      <w:r w:rsidR="006D29F6">
        <w:rPr>
          <w:rFonts w:cs="Calibri"/>
          <w:iCs/>
        </w:rPr>
        <w:t xml:space="preserve">while seeking </w:t>
      </w:r>
      <w:r w:rsidRPr="00DE38E7">
        <w:rPr>
          <w:rFonts w:cs="Calibri"/>
          <w:iCs/>
        </w:rPr>
        <w:t>to identify cost saving possibilities</w:t>
      </w:r>
      <w:r w:rsidR="00B528B6">
        <w:rPr>
          <w:rFonts w:cs="Calibri"/>
          <w:iCs/>
        </w:rPr>
        <w:t xml:space="preserve"> </w:t>
      </w:r>
      <w:r w:rsidR="006D29F6">
        <w:rPr>
          <w:rFonts w:cs="Calibri"/>
          <w:iCs/>
        </w:rPr>
        <w:t>i</w:t>
      </w:r>
      <w:r w:rsidR="006D29F6" w:rsidRPr="006D29F6">
        <w:rPr>
          <w:rFonts w:cs="Calibri"/>
          <w:iCs/>
        </w:rPr>
        <w:t>n the face of the current financial challenges</w:t>
      </w:r>
      <w:r w:rsidRPr="00DE38E7">
        <w:rPr>
          <w:rFonts w:cs="Calibri"/>
          <w:iCs/>
        </w:rPr>
        <w:t xml:space="preserve">. In this context, </w:t>
      </w:r>
      <w:r w:rsidR="00B528B6">
        <w:rPr>
          <w:rFonts w:cs="Calibri"/>
          <w:iCs/>
        </w:rPr>
        <w:t>she underscored</w:t>
      </w:r>
      <w:r w:rsidRPr="00DE38E7">
        <w:rPr>
          <w:rFonts w:cs="Calibri"/>
          <w:iCs/>
        </w:rPr>
        <w:t xml:space="preserve"> that the approach of “absorbing new mandates within existing resources </w:t>
      </w:r>
      <w:r w:rsidR="00085FC0">
        <w:rPr>
          <w:rFonts w:cs="Calibri"/>
          <w:iCs/>
        </w:rPr>
        <w:t>is</w:t>
      </w:r>
      <w:r w:rsidR="00085FC0" w:rsidRPr="00DE38E7">
        <w:rPr>
          <w:rFonts w:cs="Calibri"/>
          <w:iCs/>
        </w:rPr>
        <w:t xml:space="preserve"> </w:t>
      </w:r>
      <w:r w:rsidRPr="00DE38E7">
        <w:rPr>
          <w:rFonts w:cs="Calibri"/>
          <w:iCs/>
        </w:rPr>
        <w:t>si</w:t>
      </w:r>
      <w:r w:rsidR="00B528B6">
        <w:rPr>
          <w:rFonts w:cs="Calibri"/>
          <w:iCs/>
        </w:rPr>
        <w:t>mply not sustainable and impact</w:t>
      </w:r>
      <w:r w:rsidR="00085FC0">
        <w:rPr>
          <w:rFonts w:cs="Calibri"/>
          <w:iCs/>
        </w:rPr>
        <w:t>s</w:t>
      </w:r>
      <w:r w:rsidRPr="00DE38E7">
        <w:rPr>
          <w:rFonts w:cs="Calibri"/>
          <w:iCs/>
        </w:rPr>
        <w:t xml:space="preserve"> negatively on human rights protection</w:t>
      </w:r>
      <w:r w:rsidR="00280EBA">
        <w:rPr>
          <w:rFonts w:cs="Calibri"/>
          <w:iCs/>
        </w:rPr>
        <w:t>”</w:t>
      </w:r>
      <w:r w:rsidRPr="00DE38E7">
        <w:rPr>
          <w:rFonts w:cs="Calibri"/>
          <w:iCs/>
        </w:rPr>
        <w:t xml:space="preserve">. </w:t>
      </w:r>
      <w:r w:rsidR="00E577D3">
        <w:rPr>
          <w:rFonts w:cs="Calibri"/>
          <w:iCs/>
        </w:rPr>
        <w:t xml:space="preserve">Ms Pillay stressed </w:t>
      </w:r>
      <w:r w:rsidR="00E577D3" w:rsidRPr="00E577D3">
        <w:rPr>
          <w:rFonts w:cs="Calibri"/>
          <w:iCs/>
        </w:rPr>
        <w:t>the fu</w:t>
      </w:r>
      <w:r w:rsidR="006D29F6">
        <w:rPr>
          <w:rFonts w:cs="Calibri"/>
          <w:iCs/>
        </w:rPr>
        <w:t>ndamental role of States in the current</w:t>
      </w:r>
      <w:r w:rsidR="00E577D3" w:rsidRPr="00E577D3">
        <w:rPr>
          <w:rFonts w:cs="Calibri"/>
          <w:iCs/>
        </w:rPr>
        <w:t xml:space="preserve"> process </w:t>
      </w:r>
      <w:r w:rsidR="00E577D3">
        <w:rPr>
          <w:rFonts w:cs="Calibri"/>
          <w:iCs/>
        </w:rPr>
        <w:t xml:space="preserve">as </w:t>
      </w:r>
      <w:r w:rsidR="00E577D3" w:rsidRPr="00E577D3">
        <w:rPr>
          <w:rFonts w:cs="Calibri"/>
          <w:iCs/>
        </w:rPr>
        <w:t>the creators of the treaty body system and the primary beneficiaries of its work.</w:t>
      </w:r>
      <w:r w:rsidR="00E577D3" w:rsidRPr="00E577D3">
        <w:rPr>
          <w:rFonts w:cs="Calibri"/>
          <w:color w:val="000000"/>
        </w:rPr>
        <w:t xml:space="preserve"> </w:t>
      </w:r>
      <w:r w:rsidR="0012322A">
        <w:rPr>
          <w:rFonts w:cs="Calibri"/>
          <w:color w:val="000000"/>
        </w:rPr>
        <w:t>She</w:t>
      </w:r>
      <w:r w:rsidR="00E577D3" w:rsidRPr="00427E9C">
        <w:rPr>
          <w:rFonts w:cs="Calibri"/>
          <w:color w:val="000000"/>
        </w:rPr>
        <w:t xml:space="preserve"> reminded participants of the framework of the strengthening process which does not foresee altering the legal parameters of the treaty body system. </w:t>
      </w:r>
      <w:r w:rsidR="0012322A">
        <w:rPr>
          <w:rFonts w:cs="Calibri"/>
          <w:color w:val="000000"/>
        </w:rPr>
        <w:t>The High Commissioner</w:t>
      </w:r>
      <w:r w:rsidR="00E577D3" w:rsidRPr="00427E9C">
        <w:rPr>
          <w:rFonts w:cs="Calibri"/>
          <w:color w:val="000000"/>
        </w:rPr>
        <w:t xml:space="preserve"> acknowledged the Office’s expectation that towards the end of the process there </w:t>
      </w:r>
      <w:r w:rsidR="0047163A">
        <w:rPr>
          <w:rFonts w:cs="Calibri"/>
          <w:color w:val="000000"/>
        </w:rPr>
        <w:t>would</w:t>
      </w:r>
      <w:r w:rsidR="00E577D3" w:rsidRPr="00427E9C">
        <w:rPr>
          <w:rFonts w:cs="Calibri"/>
          <w:color w:val="000000"/>
        </w:rPr>
        <w:t xml:space="preserve"> be an intergovernmental discussion and decision-making process, and that such a process would need to embrace the multi-</w:t>
      </w:r>
      <w:r w:rsidR="00E577D3" w:rsidRPr="0012322A">
        <w:rPr>
          <w:rFonts w:cs="Calibri"/>
          <w:color w:val="000000"/>
        </w:rPr>
        <w:t>stakeholder approach of treaty body strengthening, respect the powers of the treaty bodies to decide for themselves their own working methods and rules of procedures, and uphold their independence.</w:t>
      </w:r>
      <w:r w:rsidR="0012322A">
        <w:rPr>
          <w:rFonts w:cs="Calibri"/>
          <w:color w:val="000000"/>
        </w:rPr>
        <w:t xml:space="preserve"> She expressed the hope that this process to be led by the President of the General Assembly </w:t>
      </w:r>
      <w:r w:rsidR="0012322A" w:rsidRPr="00A30C02">
        <w:rPr>
          <w:rFonts w:asciiTheme="minorHAnsi" w:hAnsiTheme="minorHAnsi" w:cstheme="minorHAnsi"/>
          <w:color w:val="000000"/>
        </w:rPr>
        <w:t xml:space="preserve">will reach positive conclusions this year, based on all inputs and suggestions developed and debated during the past two and a half years, including </w:t>
      </w:r>
      <w:r w:rsidR="0012322A">
        <w:rPr>
          <w:rFonts w:asciiTheme="minorHAnsi" w:hAnsiTheme="minorHAnsi" w:cstheme="minorHAnsi"/>
          <w:color w:val="000000"/>
        </w:rPr>
        <w:t>her</w:t>
      </w:r>
      <w:r w:rsidR="0012322A" w:rsidRPr="00A30C02">
        <w:rPr>
          <w:rFonts w:asciiTheme="minorHAnsi" w:hAnsiTheme="minorHAnsi" w:cstheme="minorHAnsi"/>
          <w:color w:val="000000"/>
        </w:rPr>
        <w:t xml:space="preserve"> comprehensive report, </w:t>
      </w:r>
      <w:r w:rsidR="0012322A">
        <w:rPr>
          <w:rFonts w:asciiTheme="minorHAnsi" w:hAnsiTheme="minorHAnsi" w:cstheme="minorHAnsi"/>
          <w:color w:val="000000"/>
        </w:rPr>
        <w:t xml:space="preserve">to </w:t>
      </w:r>
      <w:r w:rsidR="0012322A" w:rsidRPr="0012322A">
        <w:rPr>
          <w:rFonts w:asciiTheme="minorHAnsi" w:hAnsiTheme="minorHAnsi" w:cstheme="minorHAnsi"/>
          <w:color w:val="000000"/>
        </w:rPr>
        <w:t>be released</w:t>
      </w:r>
      <w:r w:rsidR="0012322A" w:rsidRPr="00A30C02">
        <w:rPr>
          <w:rFonts w:asciiTheme="minorHAnsi" w:hAnsiTheme="minorHAnsi" w:cstheme="minorHAnsi"/>
          <w:color w:val="000000"/>
        </w:rPr>
        <w:t xml:space="preserve"> in June 2012</w:t>
      </w:r>
      <w:r w:rsidR="0012322A" w:rsidRPr="0012322A">
        <w:rPr>
          <w:rFonts w:asciiTheme="minorHAnsi" w:hAnsiTheme="minorHAnsi" w:cstheme="minorHAnsi"/>
          <w:color w:val="000000"/>
        </w:rPr>
        <w:t>.</w:t>
      </w:r>
      <w:r w:rsidR="0012322A" w:rsidRPr="00A30C02">
        <w:rPr>
          <w:rFonts w:asciiTheme="minorHAnsi" w:hAnsiTheme="minorHAnsi" w:cstheme="minorHAnsi"/>
          <w:color w:val="000000"/>
        </w:rPr>
        <w:t xml:space="preserve"> The High Commissioner </w:t>
      </w:r>
      <w:r w:rsidR="0047163A">
        <w:rPr>
          <w:rFonts w:asciiTheme="minorHAnsi" w:hAnsiTheme="minorHAnsi" w:cstheme="minorHAnsi"/>
          <w:color w:val="000000"/>
        </w:rPr>
        <w:t>referred to</w:t>
      </w:r>
      <w:r w:rsidR="0012322A" w:rsidRPr="00A30C02">
        <w:rPr>
          <w:rFonts w:asciiTheme="minorHAnsi" w:hAnsiTheme="minorHAnsi" w:cstheme="minorHAnsi"/>
          <w:color w:val="000000"/>
        </w:rPr>
        <w:t xml:space="preserve"> one of the main emerging proposals</w:t>
      </w:r>
      <w:r w:rsidR="0047163A">
        <w:rPr>
          <w:rFonts w:asciiTheme="minorHAnsi" w:hAnsiTheme="minorHAnsi" w:cstheme="minorHAnsi"/>
          <w:color w:val="000000"/>
        </w:rPr>
        <w:t>, namely</w:t>
      </w:r>
      <w:r w:rsidR="0012322A" w:rsidRPr="0012322A">
        <w:rPr>
          <w:rFonts w:asciiTheme="minorHAnsi" w:hAnsiTheme="minorHAnsi" w:cstheme="minorHAnsi"/>
          <w:color w:val="000000"/>
        </w:rPr>
        <w:t xml:space="preserve"> the comprehensive reporting calendar based on 100 per cent compliance</w:t>
      </w:r>
      <w:r w:rsidR="00600FA0">
        <w:rPr>
          <w:rFonts w:asciiTheme="minorHAnsi" w:hAnsiTheme="minorHAnsi" w:cstheme="minorHAnsi"/>
          <w:color w:val="000000"/>
        </w:rPr>
        <w:t xml:space="preserve"> to be presented by OHCHR during the first session</w:t>
      </w:r>
      <w:r w:rsidR="0012322A">
        <w:rPr>
          <w:rFonts w:asciiTheme="minorHAnsi" w:hAnsiTheme="minorHAnsi" w:cstheme="minorHAnsi"/>
          <w:color w:val="000000"/>
        </w:rPr>
        <w:t>.</w:t>
      </w:r>
    </w:p>
    <w:p w:rsidR="005B55D0" w:rsidRPr="00A30C02" w:rsidRDefault="005B55D0" w:rsidP="00A30C02">
      <w:pPr>
        <w:pStyle w:val="ListParagraph"/>
        <w:tabs>
          <w:tab w:val="left" w:pos="567"/>
        </w:tabs>
        <w:ind w:left="11"/>
        <w:jc w:val="both"/>
        <w:rPr>
          <w:rFonts w:asciiTheme="minorHAnsi" w:hAnsiTheme="minorHAnsi" w:cstheme="minorHAnsi"/>
          <w:iCs/>
        </w:rPr>
      </w:pPr>
    </w:p>
    <w:p w:rsidR="00AE6619" w:rsidRDefault="002A4A07" w:rsidP="005876CE">
      <w:pPr>
        <w:pStyle w:val="ListParagraph"/>
        <w:numPr>
          <w:ilvl w:val="0"/>
          <w:numId w:val="5"/>
        </w:numPr>
        <w:tabs>
          <w:tab w:val="left" w:pos="567"/>
        </w:tabs>
        <w:ind w:left="11" w:firstLine="11"/>
        <w:jc w:val="both"/>
      </w:pPr>
      <w:r w:rsidRPr="00BE02A4">
        <w:rPr>
          <w:rFonts w:cs="Calibri"/>
          <w:bCs/>
        </w:rPr>
        <w:t xml:space="preserve">In his opening address </w:t>
      </w:r>
      <w:r w:rsidR="00380677" w:rsidRPr="00BE02A4">
        <w:rPr>
          <w:rFonts w:cs="Calibri"/>
          <w:bCs/>
        </w:rPr>
        <w:t>Mr</w:t>
      </w:r>
      <w:r w:rsidR="005B55D0" w:rsidRPr="00A30C02">
        <w:rPr>
          <w:rFonts w:cs="Calibri"/>
          <w:bCs/>
        </w:rPr>
        <w:t xml:space="preserve"> </w:t>
      </w:r>
      <w:r w:rsidR="005B55D0" w:rsidRPr="00A30C02">
        <w:rPr>
          <w:rFonts w:cs="Calibri"/>
          <w:iCs/>
          <w:color w:val="000000"/>
        </w:rPr>
        <w:t xml:space="preserve">Shaaban M. Shaaban </w:t>
      </w:r>
      <w:r w:rsidRPr="00BE02A4">
        <w:rPr>
          <w:rFonts w:cs="Calibri"/>
          <w:iCs/>
          <w:color w:val="000000"/>
        </w:rPr>
        <w:t>recalled that t</w:t>
      </w:r>
      <w:r w:rsidRPr="001769E4">
        <w:t>he human rights machinery constitutes 60 per</w:t>
      </w:r>
      <w:r>
        <w:t xml:space="preserve"> </w:t>
      </w:r>
      <w:r w:rsidRPr="001769E4">
        <w:t xml:space="preserve">cent of </w:t>
      </w:r>
      <w:r w:rsidR="00E90BCE">
        <w:t>conference s</w:t>
      </w:r>
      <w:r>
        <w:t>ervices</w:t>
      </w:r>
      <w:r w:rsidRPr="001769E4">
        <w:t xml:space="preserve"> </w:t>
      </w:r>
      <w:r>
        <w:t xml:space="preserve">documentation </w:t>
      </w:r>
      <w:r w:rsidRPr="001769E4">
        <w:t>work</w:t>
      </w:r>
      <w:r w:rsidR="004060BD">
        <w:t>load</w:t>
      </w:r>
      <w:r w:rsidRPr="001769E4">
        <w:t xml:space="preserve">, </w:t>
      </w:r>
      <w:r>
        <w:t>with</w:t>
      </w:r>
      <w:r w:rsidRPr="001769E4">
        <w:t xml:space="preserve"> the treaty bod</w:t>
      </w:r>
      <w:r w:rsidR="00964C48">
        <w:t>ies</w:t>
      </w:r>
      <w:r w:rsidRPr="001769E4">
        <w:t xml:space="preserve"> </w:t>
      </w:r>
      <w:r>
        <w:t>a</w:t>
      </w:r>
      <w:r w:rsidRPr="001769E4">
        <w:t xml:space="preserve">s </w:t>
      </w:r>
      <w:r>
        <w:t>their</w:t>
      </w:r>
      <w:r w:rsidRPr="001769E4">
        <w:t xml:space="preserve"> biggest client in Geneva.</w:t>
      </w:r>
      <w:r>
        <w:t xml:space="preserve"> He emphasized that the </w:t>
      </w:r>
      <w:r w:rsidR="007F1D65">
        <w:t xml:space="preserve">treaty body </w:t>
      </w:r>
      <w:r>
        <w:t xml:space="preserve">system has reached its limits from a conference servicing </w:t>
      </w:r>
      <w:r w:rsidR="007F1D65">
        <w:t>stand</w:t>
      </w:r>
      <w:r>
        <w:t xml:space="preserve">point </w:t>
      </w:r>
      <w:r w:rsidR="007F1D65">
        <w:t>after it almost doubled</w:t>
      </w:r>
      <w:r w:rsidR="007F1D65" w:rsidRPr="001769E4">
        <w:t xml:space="preserve"> in size</w:t>
      </w:r>
      <w:r w:rsidR="00BE02A4">
        <w:t>, the relocation of</w:t>
      </w:r>
      <w:r w:rsidR="007F1D65" w:rsidRPr="001769E4">
        <w:t xml:space="preserve"> certain bodies from New York to Geneva,</w:t>
      </w:r>
      <w:r w:rsidR="000C77BD">
        <w:t xml:space="preserve"> </w:t>
      </w:r>
      <w:r w:rsidR="00D53D21">
        <w:t>and the establishment of the Human Rights Council. Mr Shaaban suggested that the treaty bodies</w:t>
      </w:r>
      <w:r w:rsidR="00BE02A4">
        <w:t xml:space="preserve"> should</w:t>
      </w:r>
      <w:r w:rsidR="00D53D21">
        <w:t xml:space="preserve"> seek innovative ways to save costs in light of the constraints they are fac</w:t>
      </w:r>
      <w:r w:rsidR="00E90BCE">
        <w:t xml:space="preserve">ing. He referred to the example of </w:t>
      </w:r>
      <w:r w:rsidR="004060BD">
        <w:t>the Committee on the Elimination of Discrimination against Women (</w:t>
      </w:r>
      <w:r w:rsidR="00E90BCE">
        <w:t>CEDAW</w:t>
      </w:r>
      <w:r w:rsidR="004060BD">
        <w:t>)</w:t>
      </w:r>
      <w:r w:rsidR="00E90BCE">
        <w:t xml:space="preserve"> </w:t>
      </w:r>
      <w:r w:rsidR="00D53D21" w:rsidRPr="001769E4">
        <w:t xml:space="preserve">which reviewed its entitlement to conference services and decided that the English language originals of its summary records </w:t>
      </w:r>
      <w:r w:rsidR="004060BD">
        <w:t xml:space="preserve">fully </w:t>
      </w:r>
      <w:r w:rsidR="00D53D21" w:rsidRPr="001769E4">
        <w:t>met its needs</w:t>
      </w:r>
      <w:r w:rsidR="004060BD">
        <w:t>,</w:t>
      </w:r>
      <w:r w:rsidR="00D53D21" w:rsidRPr="001769E4">
        <w:t xml:space="preserve"> </w:t>
      </w:r>
      <w:r w:rsidR="004060BD">
        <w:t xml:space="preserve">relinquishing </w:t>
      </w:r>
      <w:r w:rsidR="00600FA0">
        <w:t xml:space="preserve">their </w:t>
      </w:r>
      <w:r w:rsidR="004060BD">
        <w:t>translation in other languages</w:t>
      </w:r>
      <w:r w:rsidR="00D53D21" w:rsidRPr="001769E4">
        <w:t xml:space="preserve">.  </w:t>
      </w:r>
      <w:r w:rsidR="00E90BCE">
        <w:t xml:space="preserve">Turning to the challenges faced by </w:t>
      </w:r>
      <w:r w:rsidR="00E90BCE" w:rsidRPr="001769E4">
        <w:t>the Division of Conference Management</w:t>
      </w:r>
      <w:r w:rsidR="00BB5E2E">
        <w:t xml:space="preserve"> (DCM)</w:t>
      </w:r>
      <w:r w:rsidR="00E90BCE">
        <w:t xml:space="preserve"> in Geneva, Mr Shaaban indicated that d</w:t>
      </w:r>
      <w:r w:rsidR="00E90BCE" w:rsidRPr="001769E4">
        <w:t>ocumentation capacity is around 30 pe</w:t>
      </w:r>
      <w:r w:rsidR="00E90BCE">
        <w:t xml:space="preserve">r </w:t>
      </w:r>
      <w:r w:rsidR="00E90BCE" w:rsidRPr="001769E4">
        <w:t>cent lower than demand, resulting in a growing translation backl</w:t>
      </w:r>
      <w:r w:rsidR="00E90BCE">
        <w:t>og</w:t>
      </w:r>
      <w:r w:rsidR="00BE02A4">
        <w:t xml:space="preserve"> and </w:t>
      </w:r>
      <w:r w:rsidR="00E90BCE">
        <w:t>m</w:t>
      </w:r>
      <w:r w:rsidR="00E90BCE" w:rsidRPr="001769E4">
        <w:t xml:space="preserve">any </w:t>
      </w:r>
      <w:r w:rsidR="00BE02A4">
        <w:t>documents</w:t>
      </w:r>
      <w:r w:rsidR="00E90BCE" w:rsidRPr="001769E4">
        <w:t xml:space="preserve"> not issued in accordance with the six-week rule</w:t>
      </w:r>
      <w:r w:rsidR="00BE02A4">
        <w:t>.</w:t>
      </w:r>
      <w:r w:rsidR="00BB5E2E" w:rsidRPr="00BB5E2E">
        <w:t xml:space="preserve"> </w:t>
      </w:r>
      <w:r w:rsidR="00BB5E2E">
        <w:t>He highlighted that t</w:t>
      </w:r>
      <w:r w:rsidR="00BB5E2E" w:rsidRPr="001769E4">
        <w:t xml:space="preserve">he Division's overall issuance compliance remains poor at a mere 23% of documents being issued </w:t>
      </w:r>
      <w:r w:rsidR="00911751">
        <w:t xml:space="preserve">six </w:t>
      </w:r>
      <w:r w:rsidR="00BB5E2E" w:rsidRPr="001769E4">
        <w:t>weeks or more before the date of consideration.</w:t>
      </w:r>
      <w:r w:rsidR="00BB5E2E">
        <w:t xml:space="preserve"> Stressing the need </w:t>
      </w:r>
      <w:r w:rsidR="00BB5E2E" w:rsidRPr="001769E4">
        <w:t>to use the limited resources available for the highest priority entitlements to the treaty bodies</w:t>
      </w:r>
      <w:r w:rsidR="00BB5E2E">
        <w:t>, Mr Shaaban suggested that</w:t>
      </w:r>
      <w:r w:rsidR="00DA2798">
        <w:t xml:space="preserve"> </w:t>
      </w:r>
      <w:r w:rsidR="00BB5E2E">
        <w:t>s</w:t>
      </w:r>
      <w:r w:rsidR="00BB5E2E" w:rsidRPr="001769E4">
        <w:t xml:space="preserve">ince each treaty body determines its own working methods, the body could decide to follow the Council’s approach and replace summary records with webcasting.  </w:t>
      </w:r>
    </w:p>
    <w:p w:rsidR="00AE6619" w:rsidRDefault="00AE6619" w:rsidP="00FF6CB4">
      <w:pPr>
        <w:spacing w:line="240" w:lineRule="auto"/>
        <w:jc w:val="both"/>
        <w:rPr>
          <w:rFonts w:cs="Calibri"/>
          <w:b/>
          <w:bCs/>
          <w:u w:val="single"/>
        </w:rPr>
      </w:pPr>
    </w:p>
    <w:p w:rsidR="00A068FB" w:rsidRPr="00427E9C" w:rsidRDefault="00A068FB" w:rsidP="00FF6CB4">
      <w:pPr>
        <w:spacing w:line="240" w:lineRule="auto"/>
        <w:jc w:val="both"/>
        <w:rPr>
          <w:rFonts w:cs="Calibri"/>
          <w:b/>
          <w:bCs/>
          <w:u w:val="single"/>
        </w:rPr>
      </w:pPr>
      <w:r w:rsidRPr="00427E9C">
        <w:rPr>
          <w:rFonts w:cs="Calibri"/>
          <w:b/>
          <w:bCs/>
          <w:u w:val="single"/>
        </w:rPr>
        <w:t>Resourcing the treaty body system: Efficient and Effective Functioning of the Treaty Body System</w:t>
      </w:r>
    </w:p>
    <w:p w:rsidR="00A068FB" w:rsidRPr="00427E9C" w:rsidRDefault="00A068FB" w:rsidP="00FF6CB4">
      <w:pPr>
        <w:spacing w:line="240" w:lineRule="auto"/>
        <w:jc w:val="both"/>
        <w:rPr>
          <w:rFonts w:cs="Calibri"/>
          <w:b/>
          <w:bCs/>
        </w:rPr>
      </w:pPr>
    </w:p>
    <w:p w:rsidR="00D4552D" w:rsidRPr="005C586F" w:rsidRDefault="00962145" w:rsidP="005C586F">
      <w:pPr>
        <w:pStyle w:val="ListParagraph"/>
        <w:numPr>
          <w:ilvl w:val="0"/>
          <w:numId w:val="5"/>
        </w:numPr>
        <w:tabs>
          <w:tab w:val="left" w:pos="567"/>
        </w:tabs>
        <w:ind w:left="11" w:firstLine="0"/>
        <w:jc w:val="both"/>
        <w:rPr>
          <w:rFonts w:cs="Calibri"/>
          <w:color w:val="000000"/>
        </w:rPr>
      </w:pPr>
      <w:r>
        <w:rPr>
          <w:rFonts w:cs="Calibri"/>
          <w:color w:val="000000"/>
        </w:rPr>
        <w:t xml:space="preserve">The first day of the consultation was entirely dedicated to resourcing the treaty body system. </w:t>
      </w:r>
      <w:r w:rsidR="00A068FB" w:rsidRPr="00D4552D">
        <w:rPr>
          <w:rFonts w:cs="Calibri"/>
          <w:color w:val="000000"/>
        </w:rPr>
        <w:t xml:space="preserve"> </w:t>
      </w:r>
      <w:r w:rsidR="00D4552D" w:rsidRPr="00D4552D">
        <w:rPr>
          <w:rFonts w:cs="Calibri"/>
          <w:color w:val="000000"/>
        </w:rPr>
        <w:t>Mr Le Hoai Trung, Permanent Representative of the Socialist Republic of Viet Nam</w:t>
      </w:r>
      <w:r>
        <w:rPr>
          <w:rFonts w:cs="Calibri"/>
          <w:color w:val="000000"/>
        </w:rPr>
        <w:t xml:space="preserve">, </w:t>
      </w:r>
      <w:r w:rsidR="00DD0A48">
        <w:rPr>
          <w:rFonts w:cs="Calibri"/>
          <w:color w:val="000000"/>
        </w:rPr>
        <w:t xml:space="preserve">facilitated the morning session, </w:t>
      </w:r>
      <w:r>
        <w:rPr>
          <w:rFonts w:cs="Calibri"/>
          <w:color w:val="000000"/>
        </w:rPr>
        <w:t>while Mr</w:t>
      </w:r>
      <w:r w:rsidRPr="00962145">
        <w:rPr>
          <w:rFonts w:cs="Calibri"/>
          <w:color w:val="000000"/>
        </w:rPr>
        <w:t xml:space="preserve"> Md. Mustafizur Rahman, </w:t>
      </w:r>
      <w:r w:rsidRPr="005C586F">
        <w:rPr>
          <w:rFonts w:cs="Calibri"/>
          <w:color w:val="000000"/>
        </w:rPr>
        <w:t>Deputy Permanent Representative of the People's Republic of Bangladesh</w:t>
      </w:r>
      <w:r>
        <w:rPr>
          <w:rFonts w:cs="Calibri"/>
          <w:color w:val="000000"/>
        </w:rPr>
        <w:t xml:space="preserve">, moderated the afternoon session. </w:t>
      </w:r>
      <w:r w:rsidR="00D4552D" w:rsidRPr="005C586F">
        <w:rPr>
          <w:rFonts w:cs="Calibri"/>
          <w:color w:val="000000"/>
        </w:rPr>
        <w:t xml:space="preserve">Three </w:t>
      </w:r>
      <w:r w:rsidR="00A068FB" w:rsidRPr="005C586F">
        <w:rPr>
          <w:rFonts w:cs="Calibri"/>
          <w:color w:val="000000"/>
        </w:rPr>
        <w:t xml:space="preserve">treaty body members acted as resource persons namely, </w:t>
      </w:r>
      <w:r w:rsidR="00D4552D" w:rsidRPr="005C586F">
        <w:rPr>
          <w:rFonts w:cs="Calibri"/>
          <w:color w:val="000000"/>
        </w:rPr>
        <w:t>Ms Christine Chanet, Mr Gerald Neuman and Mr Walter Kaelin</w:t>
      </w:r>
      <w:r w:rsidR="00DD0A48">
        <w:rPr>
          <w:rFonts w:cs="Calibri"/>
          <w:color w:val="000000"/>
        </w:rPr>
        <w:t>, all of them</w:t>
      </w:r>
      <w:r w:rsidR="00D4552D" w:rsidRPr="005C586F" w:rsidDel="00D4552D">
        <w:rPr>
          <w:rFonts w:cs="Calibri"/>
          <w:color w:val="000000"/>
        </w:rPr>
        <w:t xml:space="preserve"> </w:t>
      </w:r>
      <w:r w:rsidR="00D4552D" w:rsidRPr="005C586F">
        <w:rPr>
          <w:rFonts w:cs="Calibri"/>
          <w:color w:val="000000"/>
        </w:rPr>
        <w:t>from the Human Rights Committee.</w:t>
      </w:r>
    </w:p>
    <w:p w:rsidR="00D4552D" w:rsidRDefault="00D4552D" w:rsidP="00A30C02">
      <w:pPr>
        <w:pStyle w:val="ListParagraph"/>
        <w:tabs>
          <w:tab w:val="left" w:pos="567"/>
        </w:tabs>
        <w:ind w:left="11"/>
        <w:jc w:val="both"/>
        <w:rPr>
          <w:rFonts w:cs="Calibri"/>
          <w:color w:val="000000"/>
        </w:rPr>
      </w:pPr>
    </w:p>
    <w:p w:rsidR="00D4552D" w:rsidRDefault="00D4552D" w:rsidP="00A30C02">
      <w:pPr>
        <w:pStyle w:val="ListParagraph"/>
        <w:numPr>
          <w:ilvl w:val="0"/>
          <w:numId w:val="5"/>
        </w:numPr>
        <w:tabs>
          <w:tab w:val="left" w:pos="567"/>
        </w:tabs>
        <w:ind w:left="0" w:firstLine="0"/>
        <w:jc w:val="both"/>
        <w:rPr>
          <w:rFonts w:cs="Calibri"/>
        </w:rPr>
      </w:pPr>
      <w:r w:rsidRPr="00427E9C">
        <w:rPr>
          <w:rFonts w:cs="Calibri"/>
          <w:color w:val="000000"/>
        </w:rPr>
        <w:t xml:space="preserve">Mr Paulo David (OHCHR) </w:t>
      </w:r>
      <w:r w:rsidR="00DD0A48">
        <w:rPr>
          <w:rFonts w:cs="Calibri"/>
          <w:color w:val="000000"/>
        </w:rPr>
        <w:t xml:space="preserve">made a presentation </w:t>
      </w:r>
      <w:r w:rsidRPr="00427E9C">
        <w:rPr>
          <w:rFonts w:cs="Calibri"/>
          <w:color w:val="000000"/>
        </w:rPr>
        <w:t>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 xml:space="preserve">on “Measures to improve further the effectiveness, harmonization and reform of the treaty body system”, followed by a presentation </w:t>
      </w:r>
      <w:r w:rsidR="00280EBA">
        <w:rPr>
          <w:rFonts w:cs="Calibri"/>
        </w:rPr>
        <w:t>by Ms Wan Hea Lee from OHCHR</w:t>
      </w:r>
      <w:r w:rsidR="00280EBA" w:rsidRPr="00427E9C">
        <w:rPr>
          <w:rFonts w:cs="Calibri"/>
        </w:rPr>
        <w:t xml:space="preserve"> </w:t>
      </w:r>
      <w:r w:rsidRPr="00427E9C">
        <w:rPr>
          <w:rFonts w:cs="Calibri"/>
        </w:rPr>
        <w:t xml:space="preserve">on </w:t>
      </w:r>
      <w:r w:rsidR="00280EBA">
        <w:rPr>
          <w:rFonts w:cs="Calibri"/>
        </w:rPr>
        <w:t>the</w:t>
      </w:r>
      <w:r w:rsidR="00280EBA" w:rsidRPr="00427E9C">
        <w:rPr>
          <w:rFonts w:cs="Calibri"/>
        </w:rPr>
        <w:t xml:space="preserve"> </w:t>
      </w:r>
      <w:r w:rsidRPr="00427E9C">
        <w:rPr>
          <w:rFonts w:cs="Calibri"/>
        </w:rPr>
        <w:t xml:space="preserve">comprehensive reporting calendar </w:t>
      </w:r>
      <w:r w:rsidR="00280EBA">
        <w:rPr>
          <w:rFonts w:cs="Calibri"/>
        </w:rPr>
        <w:t xml:space="preserve">proposal. </w:t>
      </w:r>
    </w:p>
    <w:p w:rsidR="00EC3F0C" w:rsidRDefault="00EC3F0C" w:rsidP="00A30C02">
      <w:pPr>
        <w:pStyle w:val="ListParagraph"/>
        <w:tabs>
          <w:tab w:val="left" w:pos="567"/>
        </w:tabs>
        <w:ind w:left="0"/>
        <w:jc w:val="both"/>
        <w:rPr>
          <w:rFonts w:cs="Calibri"/>
        </w:rPr>
      </w:pPr>
    </w:p>
    <w:p w:rsidR="00EC3F0C" w:rsidRPr="00427E9C" w:rsidRDefault="00EC3F0C" w:rsidP="00A30C02">
      <w:pPr>
        <w:pStyle w:val="ListParagraph"/>
        <w:numPr>
          <w:ilvl w:val="0"/>
          <w:numId w:val="5"/>
        </w:numPr>
        <w:tabs>
          <w:tab w:val="left" w:pos="567"/>
        </w:tabs>
        <w:ind w:left="0" w:firstLine="0"/>
        <w:jc w:val="both"/>
        <w:rPr>
          <w:rFonts w:cs="Calibri"/>
        </w:rPr>
      </w:pPr>
      <w:r w:rsidRPr="00427E9C">
        <w:rPr>
          <w:rFonts w:cs="Calibri"/>
          <w:lang w:val="en-US"/>
        </w:rPr>
        <w:t>Mr</w:t>
      </w:r>
      <w:r w:rsidR="00F14154">
        <w:rPr>
          <w:rFonts w:cs="Calibri"/>
          <w:lang w:val="en-US"/>
        </w:rPr>
        <w:t xml:space="preserve"> </w:t>
      </w:r>
      <w:r w:rsidRPr="00427E9C">
        <w:rPr>
          <w:rFonts w:cs="Calibri"/>
          <w:lang w:val="en-US"/>
        </w:rPr>
        <w:t xml:space="preserve">David described the significant increase of the treaty body system which grew from six core treaties, 97 treaty body members and 51 weeks of meeting time in 2000 to nine core treaties, 172 treaty body members and 73 weeks of meeting time in 2012. </w:t>
      </w:r>
      <w:r w:rsidRPr="00427E9C">
        <w:rPr>
          <w:rFonts w:cs="Calibri"/>
        </w:rPr>
        <w:t xml:space="preserve"> He indicated that with the current level of ratifications, and if every State party were to fulfil its reporting obligations, treaty bodies would review in average 320 State</w:t>
      </w:r>
      <w:r w:rsidR="00D40377">
        <w:rPr>
          <w:rFonts w:cs="Calibri"/>
        </w:rPr>
        <w:t>s</w:t>
      </w:r>
      <w:r w:rsidRPr="00427E9C">
        <w:rPr>
          <w:rFonts w:cs="Calibri"/>
        </w:rPr>
        <w:t xml:space="preserve"> parties’ reports annually, as opposed to the 118 reports reviewed in 2011. With regard to backlogs, Mr David indicated that 625 State</w:t>
      </w:r>
      <w:r w:rsidR="00D40377">
        <w:rPr>
          <w:rFonts w:cs="Calibri"/>
        </w:rPr>
        <w:t>s</w:t>
      </w:r>
      <w:r w:rsidRPr="00427E9C">
        <w:rPr>
          <w:rFonts w:cs="Calibri"/>
        </w:rPr>
        <w:t xml:space="preserve"> parties’ reports and 478 individual communications were pending consideration as of February 2012. He then presented the two proposals contained in the report of the Secretary-General. He indicated that the first proposal aims at giving a short-term solution to reduce backlogs through a biennial adjustment of meeting time in accordance with existing backlogs and workloads whereas the second proposal offered a long term solution: a comprehensive reporting calendar based on 100% compliance rate.</w:t>
      </w:r>
    </w:p>
    <w:p w:rsidR="00EC3F0C" w:rsidRPr="00427E9C" w:rsidRDefault="00EC3F0C" w:rsidP="00A30C02">
      <w:pPr>
        <w:pStyle w:val="ListParagraph"/>
        <w:tabs>
          <w:tab w:val="left" w:pos="567"/>
        </w:tabs>
        <w:ind w:left="0"/>
        <w:jc w:val="both"/>
        <w:rPr>
          <w:rFonts w:cs="Calibri"/>
        </w:rPr>
      </w:pPr>
    </w:p>
    <w:p w:rsidR="00A068FB" w:rsidRPr="00427E9C" w:rsidRDefault="00A068FB" w:rsidP="00FF6CB4">
      <w:pPr>
        <w:pStyle w:val="ListParagraph"/>
        <w:tabs>
          <w:tab w:val="left" w:pos="567"/>
        </w:tabs>
        <w:ind w:left="11"/>
        <w:jc w:val="both"/>
        <w:rPr>
          <w:rFonts w:cs="Calibri"/>
        </w:rPr>
      </w:pPr>
    </w:p>
    <w:p w:rsidR="00A068FB" w:rsidRDefault="00A068FB" w:rsidP="00A30C02">
      <w:pPr>
        <w:pStyle w:val="ListParagraph"/>
        <w:numPr>
          <w:ilvl w:val="0"/>
          <w:numId w:val="5"/>
        </w:numPr>
        <w:tabs>
          <w:tab w:val="left" w:pos="567"/>
        </w:tabs>
        <w:ind w:left="0" w:firstLine="0"/>
        <w:jc w:val="both"/>
        <w:rPr>
          <w:rFonts w:cs="Calibri"/>
        </w:rPr>
      </w:pPr>
      <w:r w:rsidRPr="00427E9C">
        <w:rPr>
          <w:rFonts w:cs="Calibri"/>
        </w:rPr>
        <w:t>Ms Lee presented in details the second proposal of the Secretary-General mentioned above.  She highlighted the shortcomings of the current schedule of examination of State</w:t>
      </w:r>
      <w:r w:rsidR="00D40377">
        <w:rPr>
          <w:rFonts w:cs="Calibri"/>
        </w:rPr>
        <w:t>s</w:t>
      </w:r>
      <w:r w:rsidRPr="00427E9C">
        <w:rPr>
          <w:rFonts w:cs="Calibri"/>
        </w:rPr>
        <w:t xml:space="preserve"> parties’ reports: inequitable State</w:t>
      </w:r>
      <w:r w:rsidR="00D40377">
        <w:rPr>
          <w:rFonts w:cs="Calibri"/>
        </w:rPr>
        <w:t>s</w:t>
      </w:r>
      <w:r w:rsidRPr="00427E9C">
        <w:rPr>
          <w:rFonts w:cs="Calibri"/>
        </w:rPr>
        <w:t xml:space="preserve"> </w:t>
      </w:r>
      <w:r w:rsidR="00D40377">
        <w:rPr>
          <w:rFonts w:cs="Calibri"/>
        </w:rPr>
        <w:t>p</w:t>
      </w:r>
      <w:r w:rsidRPr="00427E9C">
        <w:rPr>
          <w:rFonts w:cs="Calibri"/>
        </w:rPr>
        <w:t>arties’ reviews (barely 33% timely compliance with reporting obligations</w:t>
      </w:r>
      <w:r w:rsidR="00280EBA">
        <w:rPr>
          <w:rFonts w:cs="Calibri"/>
        </w:rPr>
        <w:t xml:space="preserve"> with a one year grace</w:t>
      </w:r>
      <w:r w:rsidRPr="00427E9C">
        <w:rPr>
          <w:rFonts w:cs="Calibri"/>
        </w:rPr>
        <w:t xml:space="preserve">), large backlogs of reports pending examination, wasted resources at international and national level due to the long delays in examination, documentation problems, and continuous requests for additional resources from treaty bodies. The proposal would instead allow for a five-year cycle of reporting under the nine treaties with a reporting procedure. The reporting calendar would be published well in advance and each State party would need to submit up to two reports per year and engage in up to two dialogues per year on previously submitted reports. The calendar would be based on strict universal adherence, ensure predictability and timeliness. </w:t>
      </w:r>
      <w:r w:rsidR="00396AFD">
        <w:rPr>
          <w:rFonts w:cs="Calibri"/>
        </w:rPr>
        <w:t xml:space="preserve">Both presentations are available on the following OHCHR Webpage </w:t>
      </w:r>
    </w:p>
    <w:p w:rsidR="00396AFD" w:rsidRDefault="003703D3" w:rsidP="005876CE">
      <w:pPr>
        <w:pStyle w:val="ListParagraph"/>
        <w:tabs>
          <w:tab w:val="left" w:pos="567"/>
        </w:tabs>
        <w:ind w:left="0"/>
        <w:jc w:val="both"/>
        <w:rPr>
          <w:rFonts w:cs="Calibri"/>
        </w:rPr>
      </w:pPr>
      <w:hyperlink r:id="rId9" w:history="1">
        <w:r w:rsidR="00C846ED" w:rsidRPr="004D0282">
          <w:rPr>
            <w:rStyle w:val="Hyperlink"/>
            <w:rFonts w:cs="Calibri"/>
          </w:rPr>
          <w:t>http://www2.ohchr.org/english/bodies/HRTD/NewYorkConsultation2012.htm</w:t>
        </w:r>
      </w:hyperlink>
    </w:p>
    <w:p w:rsidR="00A30C02" w:rsidRDefault="00A30C02" w:rsidP="005C586F">
      <w:pPr>
        <w:pStyle w:val="ListParagraph"/>
        <w:tabs>
          <w:tab w:val="left" w:pos="567"/>
        </w:tabs>
        <w:ind w:left="0"/>
        <w:jc w:val="both"/>
        <w:rPr>
          <w:rFonts w:cs="Calibri"/>
        </w:rPr>
      </w:pPr>
    </w:p>
    <w:p w:rsidR="00A30C02" w:rsidRPr="005C586F" w:rsidRDefault="00A30C02" w:rsidP="00A30C02">
      <w:pPr>
        <w:pStyle w:val="ListParagraph"/>
        <w:numPr>
          <w:ilvl w:val="0"/>
          <w:numId w:val="5"/>
        </w:numPr>
        <w:tabs>
          <w:tab w:val="left" w:pos="567"/>
        </w:tabs>
        <w:ind w:left="0" w:firstLine="0"/>
        <w:jc w:val="both"/>
        <w:rPr>
          <w:rFonts w:cs="Calibri"/>
        </w:rPr>
      </w:pPr>
      <w:r w:rsidRPr="00425B79">
        <w:t xml:space="preserve">In the afternoon, </w:t>
      </w:r>
      <w:r>
        <w:t>a</w:t>
      </w:r>
      <w:r w:rsidRPr="00425B79">
        <w:t xml:space="preserve"> presentation was made by Ms Shivona Tavares-Walsh, Chief Document Management Section and Ms Kira Glover Kruglikova, Executive Officer, Division of Conference Management, on the challenges of supporting the treaty bodies and potential variations/ alternatives of conference servicing support. In this context reference was again made to CEDAW which proactively reviewed its entire conference servicing entitlements to focus on highest priorities, deciding to have summary records only in English and replies to lists of issues fully provisioned. Reference was also made to the </w:t>
      </w:r>
      <w:r w:rsidR="007E465E">
        <w:t>Universal Periodic Review (</w:t>
      </w:r>
      <w:r w:rsidRPr="00425B79">
        <w:t>UPR</w:t>
      </w:r>
      <w:r w:rsidR="007E465E">
        <w:t>)</w:t>
      </w:r>
      <w:r w:rsidRPr="00425B79">
        <w:t xml:space="preserve"> with 93% rate of timely submission of reports which are kept within self-imposed word limits.</w:t>
      </w:r>
    </w:p>
    <w:p w:rsidR="00962145" w:rsidRPr="005C586F" w:rsidRDefault="00962145" w:rsidP="005C586F">
      <w:pPr>
        <w:pStyle w:val="ListParagraph"/>
        <w:tabs>
          <w:tab w:val="left" w:pos="567"/>
        </w:tabs>
        <w:ind w:left="0"/>
        <w:jc w:val="both"/>
        <w:rPr>
          <w:rFonts w:cs="Calibri"/>
        </w:rPr>
      </w:pPr>
    </w:p>
    <w:p w:rsidR="0092521F" w:rsidRPr="005C586F" w:rsidRDefault="0092521F" w:rsidP="005C586F">
      <w:pPr>
        <w:pStyle w:val="ListParagraph"/>
        <w:numPr>
          <w:ilvl w:val="0"/>
          <w:numId w:val="5"/>
        </w:numPr>
        <w:tabs>
          <w:tab w:val="left" w:pos="709"/>
        </w:tabs>
        <w:ind w:left="0" w:firstLine="0"/>
        <w:jc w:val="both"/>
        <w:rPr>
          <w:rFonts w:asciiTheme="minorHAnsi" w:hAnsiTheme="minorHAnsi" w:cstheme="minorHAnsi"/>
          <w:lang w:val="en-US"/>
        </w:rPr>
      </w:pPr>
      <w:r w:rsidRPr="005C586F">
        <w:rPr>
          <w:rFonts w:asciiTheme="minorHAnsi" w:hAnsiTheme="minorHAnsi" w:cstheme="minorHAnsi"/>
          <w:lang w:val="en-US"/>
        </w:rPr>
        <w:t>The dialogue begun with a statement on behalf o</w:t>
      </w:r>
      <w:r w:rsidR="00BB719F" w:rsidRPr="005C586F">
        <w:rPr>
          <w:rFonts w:asciiTheme="minorHAnsi" w:hAnsiTheme="minorHAnsi" w:cstheme="minorHAnsi"/>
          <w:lang w:val="en-US"/>
        </w:rPr>
        <w:t xml:space="preserve">f a cross-regional group of 20 </w:t>
      </w:r>
      <w:r w:rsidR="00BB719F">
        <w:rPr>
          <w:rFonts w:asciiTheme="minorHAnsi" w:hAnsiTheme="minorHAnsi" w:cstheme="minorHAnsi"/>
          <w:lang w:val="en-US"/>
        </w:rPr>
        <w:t>S</w:t>
      </w:r>
      <w:r w:rsidRPr="005C586F">
        <w:rPr>
          <w:rFonts w:asciiTheme="minorHAnsi" w:hAnsiTheme="minorHAnsi" w:cstheme="minorHAnsi"/>
          <w:lang w:val="en-US"/>
        </w:rPr>
        <w:t>tates that co-sponsored resolution 66/254 of the General Assembly. The group welcomed the consultation held in New York and noted that it will be the last meeting before the conclusion of the current process and the report of the High Commissioner. The group looked forward to continuing the process of treaty body strengthening in the intergovernmental process, including through a discussion of the proposals in the High Commissioners report as well as the two reports of the Secretary General (A/66/344 and A/HRC/19/28). Members of the group also noted that they looked forward to the appointment of facilitators for the intergovernmental process as soon as possible.</w:t>
      </w:r>
    </w:p>
    <w:p w:rsidR="006C1351" w:rsidRPr="005C586F" w:rsidRDefault="006C1351" w:rsidP="005C586F">
      <w:pPr>
        <w:pStyle w:val="ListParagraph"/>
        <w:tabs>
          <w:tab w:val="left" w:pos="567"/>
        </w:tabs>
        <w:ind w:left="0"/>
        <w:jc w:val="both"/>
        <w:rPr>
          <w:rFonts w:cs="Calibri"/>
        </w:rPr>
      </w:pPr>
    </w:p>
    <w:p w:rsidR="0092521F" w:rsidRPr="005C586F" w:rsidRDefault="0092521F"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Many States expressed appreciation to the High Commissioner for leading a process which was found to be inclusive, based on well researched information and which had led to a greater awareness of the crisis</w:t>
      </w:r>
      <w:r w:rsidR="006F7C69">
        <w:rPr>
          <w:rFonts w:asciiTheme="minorHAnsi" w:hAnsiTheme="minorHAnsi" w:cstheme="minorHAnsi"/>
          <w:lang w:val="en-US"/>
        </w:rPr>
        <w:t xml:space="preserve"> </w:t>
      </w:r>
      <w:r w:rsidRPr="005C586F">
        <w:rPr>
          <w:rFonts w:asciiTheme="minorHAnsi" w:hAnsiTheme="minorHAnsi" w:cstheme="minorHAnsi"/>
          <w:lang w:val="en-US"/>
        </w:rPr>
        <w:t>of the treaty body system. Many States stated that the upcoming High Commissioner’s report would form a basis for the continued work in the inter-governmental process which should also allow for the participation of many stakeholders. Some States noted that as main duty bearers, State</w:t>
      </w:r>
      <w:r w:rsidR="00D40377">
        <w:rPr>
          <w:rFonts w:asciiTheme="minorHAnsi" w:hAnsiTheme="minorHAnsi" w:cstheme="minorHAnsi"/>
          <w:lang w:val="en-US"/>
        </w:rPr>
        <w:t>s</w:t>
      </w:r>
      <w:r w:rsidRPr="005C586F">
        <w:rPr>
          <w:rFonts w:asciiTheme="minorHAnsi" w:hAnsiTheme="minorHAnsi" w:cstheme="minorHAnsi"/>
          <w:lang w:val="en-US"/>
        </w:rPr>
        <w:t xml:space="preserve"> parties should take the lead of the process and that an actionable outcome based on consensus should be the </w:t>
      </w:r>
      <w:r w:rsidR="009A35E6" w:rsidRPr="005C586F">
        <w:rPr>
          <w:rFonts w:asciiTheme="minorHAnsi" w:hAnsiTheme="minorHAnsi" w:cstheme="minorHAnsi"/>
          <w:lang w:val="en-US"/>
        </w:rPr>
        <w:t>end result</w:t>
      </w:r>
      <w:r w:rsidRPr="005C586F">
        <w:rPr>
          <w:rFonts w:asciiTheme="minorHAnsi" w:hAnsiTheme="minorHAnsi" w:cstheme="minorHAnsi"/>
          <w:lang w:val="en-US"/>
        </w:rPr>
        <w:t xml:space="preserve">. Several States encouraged the High Commissioner to include a cost analysis for all proposals </w:t>
      </w:r>
      <w:r w:rsidR="00F14154">
        <w:rPr>
          <w:rFonts w:asciiTheme="minorHAnsi" w:hAnsiTheme="minorHAnsi" w:cstheme="minorHAnsi"/>
          <w:lang w:val="en-US"/>
        </w:rPr>
        <w:t>in</w:t>
      </w:r>
      <w:r w:rsidRPr="005C586F">
        <w:rPr>
          <w:rFonts w:asciiTheme="minorHAnsi" w:hAnsiTheme="minorHAnsi" w:cstheme="minorHAnsi"/>
          <w:lang w:val="en-US"/>
        </w:rPr>
        <w:t xml:space="preserve"> her upcoming report and expressed the hope that the ideas put forward during the present consultation would be included in the report</w:t>
      </w:r>
      <w:r w:rsidR="006F7C69">
        <w:rPr>
          <w:rFonts w:asciiTheme="minorHAnsi" w:hAnsiTheme="minorHAnsi" w:cstheme="minorHAnsi"/>
          <w:lang w:val="en-US"/>
        </w:rPr>
        <w:t>.</w:t>
      </w:r>
      <w:r w:rsidR="006F7C69" w:rsidRPr="005C586F">
        <w:rPr>
          <w:rFonts w:asciiTheme="minorHAnsi" w:hAnsiTheme="minorHAnsi" w:cstheme="minorHAnsi"/>
          <w:lang w:val="en-US"/>
        </w:rPr>
        <w:t xml:space="preserve"> </w:t>
      </w:r>
    </w:p>
    <w:p w:rsidR="0092521F" w:rsidRPr="005C586F" w:rsidRDefault="0092521F" w:rsidP="005C586F">
      <w:pPr>
        <w:pStyle w:val="ListParagraph"/>
        <w:tabs>
          <w:tab w:val="left" w:pos="567"/>
        </w:tabs>
        <w:spacing w:after="0" w:line="240" w:lineRule="auto"/>
        <w:ind w:left="0"/>
        <w:jc w:val="both"/>
        <w:rPr>
          <w:rFonts w:asciiTheme="minorHAnsi" w:hAnsiTheme="minorHAnsi" w:cstheme="minorHAnsi"/>
          <w:lang w:val="en-US"/>
        </w:rPr>
      </w:pPr>
    </w:p>
    <w:p w:rsidR="0092521F" w:rsidRPr="005C586F" w:rsidRDefault="0092521F"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Some States noted that as creators of the system, States have an obligation to work to strengthen the human rights treaty body system, while others underscored that the ultimate purpose of the treaty body strengthening process should be the universal respect for and observance of human rights.</w:t>
      </w:r>
    </w:p>
    <w:p w:rsidR="0092521F" w:rsidRPr="005C586F" w:rsidRDefault="0092521F" w:rsidP="005C586F">
      <w:pPr>
        <w:pStyle w:val="ListParagraph"/>
        <w:spacing w:after="0" w:line="240" w:lineRule="auto"/>
        <w:ind w:left="0"/>
        <w:jc w:val="both"/>
        <w:rPr>
          <w:rFonts w:asciiTheme="minorHAnsi" w:hAnsiTheme="minorHAnsi" w:cstheme="minorHAnsi"/>
          <w:lang w:val="en-US"/>
        </w:rPr>
      </w:pPr>
    </w:p>
    <w:p w:rsidR="0092521F" w:rsidRPr="005C586F" w:rsidRDefault="0092521F"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 xml:space="preserve">Some States emphasized that it </w:t>
      </w:r>
      <w:r w:rsidR="006F7C69">
        <w:rPr>
          <w:rFonts w:asciiTheme="minorHAnsi" w:hAnsiTheme="minorHAnsi" w:cstheme="minorHAnsi"/>
          <w:lang w:val="en-US"/>
        </w:rPr>
        <w:t>is</w:t>
      </w:r>
      <w:r w:rsidRPr="005C586F">
        <w:rPr>
          <w:rFonts w:asciiTheme="minorHAnsi" w:hAnsiTheme="minorHAnsi" w:cstheme="minorHAnsi"/>
          <w:lang w:val="en-US"/>
        </w:rPr>
        <w:t xml:space="preserve"> imperative to preserve the integrity and respect for the international instruments establishing the treaty bodies and not reopen these instruments for any amendments. It was noted that the international human rights treaties have undergone careful and time-consuming negotiations as they were developed. It was therefore noted that proposals must be in line with the provisions of the treaties. </w:t>
      </w:r>
    </w:p>
    <w:p w:rsidR="0092521F" w:rsidRPr="005C586F" w:rsidRDefault="0092521F" w:rsidP="005C586F">
      <w:pPr>
        <w:pStyle w:val="ListParagraph"/>
        <w:spacing w:after="0" w:line="240" w:lineRule="auto"/>
        <w:ind w:left="0"/>
        <w:jc w:val="both"/>
        <w:rPr>
          <w:rFonts w:asciiTheme="minorHAnsi" w:hAnsiTheme="minorHAnsi" w:cstheme="minorHAnsi"/>
          <w:lang w:val="en-US"/>
        </w:rPr>
      </w:pPr>
    </w:p>
    <w:p w:rsidR="00C4229F" w:rsidRPr="005C586F" w:rsidRDefault="00C4229F" w:rsidP="00C4229F">
      <w:pPr>
        <w:spacing w:after="0" w:line="240" w:lineRule="auto"/>
        <w:jc w:val="both"/>
        <w:rPr>
          <w:rFonts w:asciiTheme="minorHAnsi" w:hAnsiTheme="minorHAnsi" w:cstheme="minorHAnsi"/>
          <w:lang w:val="en-US"/>
        </w:rPr>
      </w:pPr>
    </w:p>
    <w:p w:rsidR="009A35E6" w:rsidRPr="005C586F" w:rsidRDefault="00C4229F" w:rsidP="009A35E6">
      <w:pPr>
        <w:pStyle w:val="ListParagraph"/>
        <w:numPr>
          <w:ilvl w:val="0"/>
          <w:numId w:val="5"/>
        </w:numPr>
        <w:tabs>
          <w:tab w:val="left" w:pos="567"/>
        </w:tabs>
        <w:ind w:left="0" w:firstLine="0"/>
        <w:rPr>
          <w:rFonts w:asciiTheme="minorHAnsi" w:hAnsiTheme="minorHAnsi" w:cstheme="minorHAnsi"/>
          <w:lang w:val="en-US"/>
        </w:rPr>
      </w:pPr>
      <w:r w:rsidRPr="005C586F">
        <w:rPr>
          <w:rFonts w:asciiTheme="minorHAnsi" w:hAnsiTheme="minorHAnsi" w:cstheme="minorHAnsi"/>
          <w:lang w:val="en-US"/>
        </w:rPr>
        <w:t xml:space="preserve">The need for respect of each stakeholder’s competencies was </w:t>
      </w:r>
      <w:r w:rsidR="009A35E6" w:rsidRPr="005C586F">
        <w:rPr>
          <w:rFonts w:asciiTheme="minorHAnsi" w:hAnsiTheme="minorHAnsi" w:cstheme="minorHAnsi"/>
          <w:lang w:val="en-US"/>
        </w:rPr>
        <w:t>emphasized, including those of Member S</w:t>
      </w:r>
      <w:r w:rsidRPr="005C586F">
        <w:rPr>
          <w:rFonts w:asciiTheme="minorHAnsi" w:hAnsiTheme="minorHAnsi" w:cstheme="minorHAnsi"/>
          <w:lang w:val="en-US"/>
        </w:rPr>
        <w:t>tates through the General Assembly, State</w:t>
      </w:r>
      <w:r w:rsidR="00F14154">
        <w:rPr>
          <w:rFonts w:asciiTheme="minorHAnsi" w:hAnsiTheme="minorHAnsi" w:cstheme="minorHAnsi"/>
          <w:lang w:val="en-US"/>
        </w:rPr>
        <w:t>s</w:t>
      </w:r>
      <w:r w:rsidRPr="005C586F">
        <w:rPr>
          <w:rFonts w:asciiTheme="minorHAnsi" w:hAnsiTheme="minorHAnsi" w:cstheme="minorHAnsi"/>
          <w:lang w:val="en-US"/>
        </w:rPr>
        <w:t xml:space="preserve"> parties to the treaties,</w:t>
      </w:r>
      <w:r w:rsidR="009A35E6" w:rsidRPr="005C586F">
        <w:rPr>
          <w:rFonts w:asciiTheme="minorHAnsi" w:hAnsiTheme="minorHAnsi" w:cstheme="minorHAnsi"/>
          <w:lang w:val="en-US"/>
        </w:rPr>
        <w:t xml:space="preserve"> treaty bodies and the OHCHR. Some States </w:t>
      </w:r>
      <w:r w:rsidR="00280EBA">
        <w:rPr>
          <w:rFonts w:asciiTheme="minorHAnsi" w:hAnsiTheme="minorHAnsi" w:cstheme="minorHAnsi"/>
          <w:lang w:val="en-US"/>
        </w:rPr>
        <w:t>stressed</w:t>
      </w:r>
      <w:r w:rsidR="00280EBA" w:rsidRPr="005C586F">
        <w:rPr>
          <w:rFonts w:asciiTheme="minorHAnsi" w:hAnsiTheme="minorHAnsi" w:cstheme="minorHAnsi"/>
          <w:lang w:val="en-US"/>
        </w:rPr>
        <w:t xml:space="preserve"> </w:t>
      </w:r>
      <w:r w:rsidR="009A35E6" w:rsidRPr="005C586F">
        <w:rPr>
          <w:rFonts w:asciiTheme="minorHAnsi" w:hAnsiTheme="minorHAnsi" w:cstheme="minorHAnsi"/>
          <w:lang w:val="en-US"/>
        </w:rPr>
        <w:t>that treaty bodies have the competency under the treaties to decide on their working methods.</w:t>
      </w:r>
    </w:p>
    <w:p w:rsidR="00962145" w:rsidRPr="005C586F" w:rsidRDefault="00962145" w:rsidP="005C586F">
      <w:pPr>
        <w:pStyle w:val="ListParagraph"/>
        <w:tabs>
          <w:tab w:val="left" w:pos="567"/>
        </w:tabs>
        <w:ind w:left="0"/>
        <w:rPr>
          <w:rFonts w:asciiTheme="minorHAnsi" w:hAnsiTheme="minorHAnsi" w:cstheme="minorHAnsi"/>
          <w:lang w:val="en-US"/>
        </w:rPr>
      </w:pPr>
    </w:p>
    <w:p w:rsidR="009A35E6" w:rsidRPr="005C586F" w:rsidRDefault="009A35E6"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It was recommended that emerging recommendations on treaty body strengthening should ensure respect for the principles of transparency, objectivity, non-selectivity, enhance State</w:t>
      </w:r>
      <w:r w:rsidR="00D40377">
        <w:rPr>
          <w:rFonts w:asciiTheme="minorHAnsi" w:hAnsiTheme="minorHAnsi" w:cstheme="minorHAnsi"/>
          <w:lang w:val="en-US"/>
        </w:rPr>
        <w:t>s</w:t>
      </w:r>
      <w:r w:rsidRPr="005C586F">
        <w:rPr>
          <w:rFonts w:asciiTheme="minorHAnsi" w:hAnsiTheme="minorHAnsi" w:cstheme="minorHAnsi"/>
          <w:lang w:val="en-US"/>
        </w:rPr>
        <w:t xml:space="preserve"> parties’ dialogue with the treaty bodies, and provide treaty bodies with the necessary resources to carry out their mandates. It was further suggested that focus be given to developing proposals and recommendations that aim at strengthening and increasing effectiveness and efficiency of the working methods of treaty bodies in accordance with their mandates, and provide the objective enabling environment for State</w:t>
      </w:r>
      <w:r w:rsidR="00D40377">
        <w:rPr>
          <w:rFonts w:asciiTheme="minorHAnsi" w:hAnsiTheme="minorHAnsi" w:cstheme="minorHAnsi"/>
          <w:lang w:val="en-US"/>
        </w:rPr>
        <w:t>s</w:t>
      </w:r>
      <w:r w:rsidRPr="005C586F">
        <w:rPr>
          <w:rFonts w:asciiTheme="minorHAnsi" w:hAnsiTheme="minorHAnsi" w:cstheme="minorHAnsi"/>
          <w:lang w:val="en-US"/>
        </w:rPr>
        <w:t xml:space="preserve"> parties to efficiently interact with the relevant treaty bodies. </w:t>
      </w:r>
    </w:p>
    <w:p w:rsidR="009A35E6" w:rsidRPr="005C586F" w:rsidRDefault="009A35E6" w:rsidP="005C586F">
      <w:pPr>
        <w:pStyle w:val="ListParagraph"/>
        <w:tabs>
          <w:tab w:val="left" w:pos="567"/>
        </w:tabs>
        <w:spacing w:after="0" w:line="240" w:lineRule="auto"/>
        <w:ind w:left="0"/>
        <w:jc w:val="both"/>
        <w:rPr>
          <w:rFonts w:asciiTheme="minorHAnsi" w:hAnsiTheme="minorHAnsi" w:cstheme="minorHAnsi"/>
          <w:lang w:val="en-US"/>
        </w:rPr>
      </w:pPr>
    </w:p>
    <w:p w:rsidR="009A35E6" w:rsidRPr="005C586F" w:rsidRDefault="009A35E6" w:rsidP="005C586F">
      <w:pPr>
        <w:pStyle w:val="ListParagraph"/>
        <w:tabs>
          <w:tab w:val="left" w:pos="567"/>
        </w:tabs>
        <w:spacing w:after="0" w:line="240" w:lineRule="auto"/>
        <w:ind w:left="0"/>
        <w:jc w:val="both"/>
        <w:rPr>
          <w:rFonts w:asciiTheme="minorHAnsi" w:hAnsiTheme="minorHAnsi" w:cstheme="minorHAnsi"/>
          <w:lang w:val="en-US"/>
        </w:rPr>
      </w:pPr>
    </w:p>
    <w:p w:rsidR="009A35E6" w:rsidRPr="005C586F" w:rsidRDefault="009A35E6"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 xml:space="preserve">Participants discussed in-depth the two main proposals of the report of the Secretary-General (A/66/344). The proposed comprehensive reporting calendar received support from many </w:t>
      </w:r>
      <w:r w:rsidR="00A501C9" w:rsidRPr="005C586F">
        <w:rPr>
          <w:rFonts w:asciiTheme="minorHAnsi" w:hAnsiTheme="minorHAnsi" w:cstheme="minorHAnsi"/>
          <w:lang w:val="en-US"/>
        </w:rPr>
        <w:t>States</w:t>
      </w:r>
      <w:r w:rsidRPr="005C586F">
        <w:rPr>
          <w:rFonts w:asciiTheme="minorHAnsi" w:hAnsiTheme="minorHAnsi" w:cstheme="minorHAnsi"/>
          <w:lang w:val="en-US"/>
        </w:rPr>
        <w:t>, in particular for providing predictability, equal consideration of all State</w:t>
      </w:r>
      <w:r w:rsidR="00D40377">
        <w:rPr>
          <w:rFonts w:asciiTheme="minorHAnsi" w:hAnsiTheme="minorHAnsi" w:cstheme="minorHAnsi"/>
          <w:lang w:val="en-US"/>
        </w:rPr>
        <w:t>s</w:t>
      </w:r>
      <w:r w:rsidRPr="005C586F">
        <w:rPr>
          <w:rFonts w:asciiTheme="minorHAnsi" w:hAnsiTheme="minorHAnsi" w:cstheme="minorHAnsi"/>
          <w:lang w:val="en-US"/>
        </w:rPr>
        <w:t xml:space="preserve"> parties and enhancement of effectiveness. However, concern was also raised over its resources implications, changing the periodicity of</w:t>
      </w:r>
      <w:r w:rsidR="00A501C9" w:rsidRPr="005C586F">
        <w:rPr>
          <w:rFonts w:asciiTheme="minorHAnsi" w:hAnsiTheme="minorHAnsi" w:cstheme="minorHAnsi"/>
          <w:lang w:val="en-US"/>
        </w:rPr>
        <w:t xml:space="preserve"> reporting and the capacity of S</w:t>
      </w:r>
      <w:r w:rsidRPr="005C586F">
        <w:rPr>
          <w:rFonts w:asciiTheme="minorHAnsi" w:hAnsiTheme="minorHAnsi" w:cstheme="minorHAnsi"/>
          <w:lang w:val="en-US"/>
        </w:rPr>
        <w:t>tates to adhere to the schedule. It was proposed that OHCHR consider the different parameters of the comprehensive reporting calendar to provide alternatives with full costing</w:t>
      </w:r>
      <w:r w:rsidR="00D952A4">
        <w:rPr>
          <w:rFonts w:asciiTheme="minorHAnsi" w:hAnsiTheme="minorHAnsi" w:cstheme="minorHAnsi"/>
          <w:lang w:val="en-US"/>
        </w:rPr>
        <w:t>,</w:t>
      </w:r>
      <w:r w:rsidR="00D952A4" w:rsidRPr="005C586F">
        <w:rPr>
          <w:rFonts w:asciiTheme="minorHAnsi" w:hAnsiTheme="minorHAnsi" w:cstheme="minorHAnsi"/>
          <w:lang w:val="en-US"/>
        </w:rPr>
        <w:t xml:space="preserve"> as</w:t>
      </w:r>
      <w:r w:rsidR="00D952A4">
        <w:rPr>
          <w:rFonts w:asciiTheme="minorHAnsi" w:hAnsiTheme="minorHAnsi" w:cstheme="minorHAnsi"/>
          <w:lang w:val="en-US"/>
        </w:rPr>
        <w:t xml:space="preserve"> well as</w:t>
      </w:r>
      <w:r w:rsidRPr="005C586F">
        <w:rPr>
          <w:rFonts w:asciiTheme="minorHAnsi" w:hAnsiTheme="minorHAnsi" w:cstheme="minorHAnsi"/>
          <w:lang w:val="en-US"/>
        </w:rPr>
        <w:t xml:space="preserve"> other cost saving measures. </w:t>
      </w:r>
    </w:p>
    <w:p w:rsidR="0092521F" w:rsidRPr="005C586F" w:rsidRDefault="0092521F" w:rsidP="005C586F">
      <w:pPr>
        <w:pStyle w:val="ListParagraph"/>
        <w:tabs>
          <w:tab w:val="left" w:pos="567"/>
        </w:tabs>
        <w:spacing w:after="0" w:line="240" w:lineRule="auto"/>
        <w:ind w:left="0"/>
        <w:jc w:val="both"/>
        <w:rPr>
          <w:rFonts w:asciiTheme="minorHAnsi" w:hAnsiTheme="minorHAnsi" w:cstheme="minorHAnsi"/>
          <w:lang w:val="en-US"/>
        </w:rPr>
      </w:pPr>
    </w:p>
    <w:p w:rsidR="00A501C9" w:rsidRPr="005C586F" w:rsidRDefault="00A501C9" w:rsidP="005C586F">
      <w:pPr>
        <w:pStyle w:val="ListParagraph"/>
        <w:numPr>
          <w:ilvl w:val="0"/>
          <w:numId w:val="5"/>
        </w:numPr>
        <w:tabs>
          <w:tab w:val="left" w:pos="567"/>
        </w:tabs>
        <w:ind w:left="0" w:firstLine="0"/>
        <w:jc w:val="both"/>
        <w:rPr>
          <w:rFonts w:asciiTheme="minorHAnsi" w:hAnsiTheme="minorHAnsi" w:cstheme="minorHAnsi"/>
          <w:lang w:val="en-US"/>
        </w:rPr>
      </w:pPr>
      <w:r w:rsidRPr="005C586F">
        <w:rPr>
          <w:rFonts w:asciiTheme="minorHAnsi" w:hAnsiTheme="minorHAnsi" w:cstheme="minorHAnsi"/>
          <w:lang w:val="en-US"/>
        </w:rPr>
        <w:t xml:space="preserve">Many delegations also took the opportunity to indicate which of the proposals in the “non-exhaustive list of emerging proposals” they considered positively, negatively or </w:t>
      </w:r>
      <w:r w:rsidR="003A26E8">
        <w:rPr>
          <w:rFonts w:asciiTheme="minorHAnsi" w:hAnsiTheme="minorHAnsi" w:cstheme="minorHAnsi"/>
          <w:lang w:val="en-US"/>
        </w:rPr>
        <w:t>required</w:t>
      </w:r>
      <w:r w:rsidRPr="005C586F">
        <w:rPr>
          <w:rFonts w:asciiTheme="minorHAnsi" w:hAnsiTheme="minorHAnsi" w:cstheme="minorHAnsi"/>
          <w:lang w:val="en-US"/>
        </w:rPr>
        <w:t xml:space="preserve"> further </w:t>
      </w:r>
      <w:r w:rsidR="003A26E8" w:rsidRPr="005C586F">
        <w:rPr>
          <w:rFonts w:asciiTheme="minorHAnsi" w:hAnsiTheme="minorHAnsi" w:cstheme="minorHAnsi"/>
          <w:lang w:val="en-US"/>
        </w:rPr>
        <w:t>reflection</w:t>
      </w:r>
      <w:r w:rsidR="003A26E8">
        <w:rPr>
          <w:rFonts w:asciiTheme="minorHAnsi" w:hAnsiTheme="minorHAnsi" w:cstheme="minorHAnsi"/>
          <w:lang w:val="en-US"/>
        </w:rPr>
        <w:t xml:space="preserve"> in their view</w:t>
      </w:r>
      <w:r w:rsidRPr="005C586F">
        <w:rPr>
          <w:rFonts w:asciiTheme="minorHAnsi" w:hAnsiTheme="minorHAnsi" w:cstheme="minorHAnsi"/>
          <w:lang w:val="en-US"/>
        </w:rPr>
        <w:t>. Such positions have also been submitted by many State</w:t>
      </w:r>
      <w:r w:rsidR="00D40377">
        <w:rPr>
          <w:rFonts w:asciiTheme="minorHAnsi" w:hAnsiTheme="minorHAnsi" w:cstheme="minorHAnsi"/>
          <w:lang w:val="en-US"/>
        </w:rPr>
        <w:t>s</w:t>
      </w:r>
      <w:r w:rsidRPr="005C586F">
        <w:rPr>
          <w:rFonts w:asciiTheme="minorHAnsi" w:hAnsiTheme="minorHAnsi" w:cstheme="minorHAnsi"/>
          <w:lang w:val="en-US"/>
        </w:rPr>
        <w:t xml:space="preserve"> parties in writing, in response to the invitation by the High Commissioner, and compiled by the OHCHR. Many specific questions on these proposals, aiming for clarity and information on full implications, were asked by the participants and answered by OHCHR staff and treaty body members. While several States urged for a greater alignment and synchronization between treaty body </w:t>
      </w:r>
      <w:r w:rsidR="003A26E8">
        <w:rPr>
          <w:rFonts w:asciiTheme="minorHAnsi" w:hAnsiTheme="minorHAnsi" w:cstheme="minorHAnsi"/>
          <w:lang w:val="en-US"/>
        </w:rPr>
        <w:t>examinations</w:t>
      </w:r>
      <w:r w:rsidRPr="005C586F">
        <w:rPr>
          <w:rFonts w:asciiTheme="minorHAnsi" w:hAnsiTheme="minorHAnsi" w:cstheme="minorHAnsi"/>
          <w:lang w:val="en-US"/>
        </w:rPr>
        <w:t xml:space="preserve"> and the UPR, the need to avoid dupl</w:t>
      </w:r>
      <w:r w:rsidR="004D1802" w:rsidRPr="005C586F">
        <w:rPr>
          <w:rFonts w:asciiTheme="minorHAnsi" w:hAnsiTheme="minorHAnsi" w:cstheme="minorHAnsi"/>
          <w:lang w:val="en-US"/>
        </w:rPr>
        <w:t>ication between the systems w</w:t>
      </w:r>
      <w:r w:rsidR="004D1802">
        <w:rPr>
          <w:rFonts w:asciiTheme="minorHAnsi" w:hAnsiTheme="minorHAnsi" w:cstheme="minorHAnsi"/>
          <w:lang w:val="en-US"/>
        </w:rPr>
        <w:t>as</w:t>
      </w:r>
      <w:r w:rsidRPr="005C586F">
        <w:rPr>
          <w:rFonts w:asciiTheme="minorHAnsi" w:hAnsiTheme="minorHAnsi" w:cstheme="minorHAnsi"/>
          <w:lang w:val="en-US"/>
        </w:rPr>
        <w:t xml:space="preserve"> also raised. </w:t>
      </w:r>
    </w:p>
    <w:p w:rsidR="00A501C9" w:rsidRPr="005C586F" w:rsidRDefault="00A501C9" w:rsidP="005C586F">
      <w:pPr>
        <w:pStyle w:val="ListParagraph"/>
        <w:tabs>
          <w:tab w:val="left" w:pos="567"/>
        </w:tabs>
        <w:spacing w:after="0" w:line="240" w:lineRule="auto"/>
        <w:ind w:left="0"/>
        <w:jc w:val="both"/>
        <w:rPr>
          <w:rFonts w:asciiTheme="minorHAnsi" w:hAnsiTheme="minorHAnsi" w:cstheme="minorHAnsi"/>
          <w:lang w:val="en-US"/>
        </w:rPr>
      </w:pPr>
    </w:p>
    <w:p w:rsidR="00A501C9" w:rsidRPr="005C586F" w:rsidRDefault="00A501C9" w:rsidP="005C586F">
      <w:pPr>
        <w:pStyle w:val="ListParagraph"/>
        <w:tabs>
          <w:tab w:val="left" w:pos="567"/>
        </w:tabs>
        <w:spacing w:after="0" w:line="240" w:lineRule="auto"/>
        <w:ind w:left="0"/>
        <w:jc w:val="both"/>
        <w:rPr>
          <w:rFonts w:asciiTheme="minorHAnsi" w:hAnsiTheme="minorHAnsi" w:cstheme="minorHAnsi"/>
          <w:lang w:val="en-US"/>
        </w:rPr>
      </w:pPr>
    </w:p>
    <w:p w:rsidR="007A7A39" w:rsidRPr="005C586F" w:rsidRDefault="00A501C9" w:rsidP="005C586F">
      <w:pPr>
        <w:pStyle w:val="ListParagraph"/>
        <w:numPr>
          <w:ilvl w:val="0"/>
          <w:numId w:val="5"/>
        </w:numPr>
        <w:tabs>
          <w:tab w:val="left" w:pos="567"/>
        </w:tabs>
        <w:ind w:left="0" w:firstLine="0"/>
        <w:jc w:val="both"/>
        <w:rPr>
          <w:rFonts w:asciiTheme="minorHAnsi" w:hAnsiTheme="minorHAnsi" w:cstheme="minorHAnsi"/>
          <w:lang w:val="en-US"/>
        </w:rPr>
      </w:pPr>
      <w:r w:rsidRPr="005C586F">
        <w:rPr>
          <w:rFonts w:asciiTheme="minorHAnsi" w:hAnsiTheme="minorHAnsi" w:cstheme="minorHAnsi"/>
          <w:lang w:val="en-US"/>
        </w:rPr>
        <w:t xml:space="preserve"> </w:t>
      </w:r>
      <w:r w:rsidR="007A7A39" w:rsidRPr="005C586F">
        <w:rPr>
          <w:rFonts w:asciiTheme="minorHAnsi" w:hAnsiTheme="minorHAnsi" w:cstheme="minorHAnsi"/>
          <w:lang w:val="en-US"/>
        </w:rPr>
        <w:t xml:space="preserve">Many States acknowledged the expansion of the treaty body system over the years and the need to allocate adequate resources to enable the </w:t>
      </w:r>
      <w:r w:rsidR="004D1802">
        <w:rPr>
          <w:rFonts w:asciiTheme="minorHAnsi" w:hAnsiTheme="minorHAnsi" w:cstheme="minorHAnsi"/>
          <w:lang w:val="en-US"/>
        </w:rPr>
        <w:t>latter</w:t>
      </w:r>
      <w:r w:rsidR="007A7A39" w:rsidRPr="005C586F">
        <w:rPr>
          <w:rFonts w:asciiTheme="minorHAnsi" w:hAnsiTheme="minorHAnsi" w:cstheme="minorHAnsi"/>
          <w:lang w:val="en-US"/>
        </w:rPr>
        <w:t xml:space="preserve"> to function effectively. Some spoke in support of increasing budget allocations. However, it was also noted that the current economic situation requires the system to find the most efficient use of the financial resources allocated to it.</w:t>
      </w:r>
    </w:p>
    <w:p w:rsidR="007A7A39" w:rsidRPr="005C586F" w:rsidRDefault="007A7A39" w:rsidP="005C586F">
      <w:pPr>
        <w:pStyle w:val="ListParagraph"/>
        <w:tabs>
          <w:tab w:val="left" w:pos="567"/>
        </w:tabs>
        <w:ind w:left="0"/>
        <w:jc w:val="both"/>
        <w:rPr>
          <w:rFonts w:asciiTheme="minorHAnsi" w:hAnsiTheme="minorHAnsi" w:cstheme="minorHAnsi"/>
          <w:lang w:val="en-US"/>
        </w:rPr>
      </w:pPr>
      <w:r w:rsidRPr="005C586F">
        <w:rPr>
          <w:rFonts w:asciiTheme="minorHAnsi" w:hAnsiTheme="minorHAnsi" w:cstheme="minorHAnsi"/>
          <w:lang w:val="en-US"/>
        </w:rPr>
        <w:t>It was suggested that resourcing the treaty body system should not be seen in isolation and that the process should develop a solution to the backlog of reports as well as design a sustainable solution for the system in the long term. This would require a combination of measures which are not limited to the question of resources.</w:t>
      </w:r>
    </w:p>
    <w:p w:rsidR="00A501C9" w:rsidRPr="005C586F" w:rsidRDefault="00A501C9" w:rsidP="005C586F">
      <w:pPr>
        <w:pStyle w:val="ListParagraph"/>
        <w:tabs>
          <w:tab w:val="left" w:pos="567"/>
        </w:tabs>
        <w:spacing w:after="0" w:line="240" w:lineRule="auto"/>
        <w:ind w:left="0"/>
        <w:jc w:val="both"/>
        <w:rPr>
          <w:rFonts w:asciiTheme="minorHAnsi" w:hAnsiTheme="minorHAnsi" w:cstheme="minorHAnsi"/>
          <w:lang w:val="en-US"/>
        </w:rPr>
      </w:pPr>
    </w:p>
    <w:p w:rsidR="00571092" w:rsidRPr="005C586F" w:rsidRDefault="00571092" w:rsidP="005C586F">
      <w:pPr>
        <w:pStyle w:val="ListParagraph"/>
        <w:numPr>
          <w:ilvl w:val="0"/>
          <w:numId w:val="5"/>
        </w:numPr>
        <w:tabs>
          <w:tab w:val="left" w:pos="709"/>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There was overall agreement amongst States that the treaty body system should be funded from the regular budget, and that any increase in funding should be channeled through an increase in regular budget rather than extra budgetary allocations. In this regard, it was noted that an increase in budget would have to be negotiated in the context of the Fifth Committee of the General Assembly. Some participants suggested that OHCHR should have flexibility in allocating existing resources, depending on the need of each treaty body.</w:t>
      </w:r>
    </w:p>
    <w:p w:rsidR="00571092" w:rsidRPr="005C586F" w:rsidRDefault="00571092" w:rsidP="005C586F">
      <w:pPr>
        <w:pStyle w:val="ListParagraph"/>
        <w:tabs>
          <w:tab w:val="left" w:pos="709"/>
        </w:tabs>
        <w:spacing w:after="0" w:line="240" w:lineRule="auto"/>
        <w:ind w:left="0"/>
        <w:jc w:val="both"/>
        <w:rPr>
          <w:rFonts w:asciiTheme="minorHAnsi" w:hAnsiTheme="minorHAnsi" w:cstheme="minorHAnsi"/>
          <w:lang w:val="en-US"/>
        </w:rPr>
      </w:pPr>
    </w:p>
    <w:p w:rsidR="00571092" w:rsidRPr="005C586F" w:rsidRDefault="00571092"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It was suggested that the starting point for discussion should be to maximize the use of existing resources and that OHCHR should conduct an extensive cost-saving analysis before identifying areas which require additional resources. Several States noted that cost-saving measures must not compromise the quality or content of the reporting process.</w:t>
      </w:r>
    </w:p>
    <w:p w:rsidR="00571092" w:rsidRPr="005C586F" w:rsidRDefault="00571092" w:rsidP="005C586F">
      <w:pPr>
        <w:pStyle w:val="ListParagraph"/>
        <w:tabs>
          <w:tab w:val="left" w:pos="567"/>
        </w:tabs>
        <w:spacing w:after="0" w:line="240" w:lineRule="auto"/>
        <w:ind w:left="0"/>
        <w:jc w:val="both"/>
        <w:rPr>
          <w:rFonts w:asciiTheme="minorHAnsi" w:hAnsiTheme="minorHAnsi" w:cstheme="minorHAnsi"/>
          <w:lang w:val="en-US"/>
        </w:rPr>
      </w:pPr>
    </w:p>
    <w:p w:rsidR="00571092" w:rsidRPr="005C586F" w:rsidRDefault="00571092"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Participants discussed several proposals with a significant cost saving effect for the treaty body system, including reducing number of languages for translation of documents, keeping summary records in English only and possibly replacing summary records with searchable audio records, reducing the number of working languages of the treaty bodies, holding meetings and sessions in Geneva only, imposing strict page limitations to State</w:t>
      </w:r>
      <w:r w:rsidR="00D40377">
        <w:rPr>
          <w:rFonts w:asciiTheme="minorHAnsi" w:hAnsiTheme="minorHAnsi" w:cstheme="minorHAnsi"/>
          <w:lang w:val="en-US"/>
        </w:rPr>
        <w:t>s</w:t>
      </w:r>
      <w:r w:rsidRPr="005C586F">
        <w:rPr>
          <w:rFonts w:asciiTheme="minorHAnsi" w:hAnsiTheme="minorHAnsi" w:cstheme="minorHAnsi"/>
          <w:lang w:val="en-US"/>
        </w:rPr>
        <w:t xml:space="preserve"> parties’ reports, reducing paper distribution of documents and increased use of new technology such as webcasting and videoconferencing.</w:t>
      </w:r>
    </w:p>
    <w:p w:rsidR="00571092" w:rsidRPr="005C586F" w:rsidRDefault="00571092" w:rsidP="005C586F">
      <w:pPr>
        <w:pStyle w:val="ListParagraph"/>
        <w:tabs>
          <w:tab w:val="left" w:pos="567"/>
        </w:tabs>
        <w:spacing w:after="0" w:line="240" w:lineRule="auto"/>
        <w:ind w:left="0"/>
        <w:jc w:val="both"/>
        <w:rPr>
          <w:rFonts w:asciiTheme="minorHAnsi" w:hAnsiTheme="minorHAnsi" w:cstheme="minorHAnsi"/>
          <w:lang w:val="en-US"/>
        </w:rPr>
      </w:pPr>
    </w:p>
    <w:p w:rsidR="00571092" w:rsidRPr="005C586F" w:rsidRDefault="00571092" w:rsidP="005C586F">
      <w:pPr>
        <w:pStyle w:val="ListParagraph"/>
        <w:numPr>
          <w:ilvl w:val="0"/>
          <w:numId w:val="5"/>
        </w:numPr>
        <w:tabs>
          <w:tab w:val="left" w:pos="567"/>
        </w:tabs>
        <w:ind w:left="0" w:firstLine="0"/>
        <w:jc w:val="both"/>
        <w:rPr>
          <w:rFonts w:asciiTheme="minorHAnsi" w:hAnsiTheme="minorHAnsi" w:cstheme="minorHAnsi"/>
          <w:lang w:val="en-US"/>
        </w:rPr>
      </w:pPr>
      <w:r w:rsidRPr="005C586F">
        <w:rPr>
          <w:rFonts w:asciiTheme="minorHAnsi" w:hAnsiTheme="minorHAnsi" w:cstheme="minorHAnsi"/>
          <w:lang w:val="en-US"/>
        </w:rPr>
        <w:t>While many States expressed support to the treaty bodies limiting the number of working languages to reduce costs</w:t>
      </w:r>
      <w:r w:rsidR="00DF1EDE" w:rsidRPr="005C586F">
        <w:rPr>
          <w:rFonts w:asciiTheme="minorHAnsi" w:hAnsiTheme="minorHAnsi" w:cstheme="minorHAnsi"/>
          <w:lang w:val="en-US"/>
        </w:rPr>
        <w:t xml:space="preserve"> and harmonizing</w:t>
      </w:r>
      <w:r w:rsidRPr="005C586F">
        <w:rPr>
          <w:rFonts w:asciiTheme="minorHAnsi" w:hAnsiTheme="minorHAnsi" w:cstheme="minorHAnsi"/>
          <w:lang w:val="en-US"/>
        </w:rPr>
        <w:t xml:space="preserve"> such practices </w:t>
      </w:r>
      <w:r w:rsidR="00DF1EDE" w:rsidRPr="005C586F">
        <w:rPr>
          <w:rFonts w:asciiTheme="minorHAnsi" w:hAnsiTheme="minorHAnsi" w:cstheme="minorHAnsi"/>
          <w:lang w:val="en-US"/>
        </w:rPr>
        <w:t>across the system</w:t>
      </w:r>
      <w:r w:rsidRPr="005C586F">
        <w:rPr>
          <w:rFonts w:asciiTheme="minorHAnsi" w:hAnsiTheme="minorHAnsi" w:cstheme="minorHAnsi"/>
          <w:lang w:val="en-US"/>
        </w:rPr>
        <w:t xml:space="preserve">, some also stated that all UN languages must be treated equally and that official documents should </w:t>
      </w:r>
      <w:r w:rsidR="004D1802">
        <w:rPr>
          <w:rFonts w:asciiTheme="minorHAnsi" w:hAnsiTheme="minorHAnsi" w:cstheme="minorHAnsi"/>
          <w:lang w:val="en-US"/>
        </w:rPr>
        <w:t>be available</w:t>
      </w:r>
      <w:r w:rsidRPr="005C586F">
        <w:rPr>
          <w:rFonts w:asciiTheme="minorHAnsi" w:hAnsiTheme="minorHAnsi" w:cstheme="minorHAnsi"/>
          <w:lang w:val="en-US"/>
        </w:rPr>
        <w:t xml:space="preserve"> in all six UN official languages. Several States supported the proposal whereby summary records could be limited to one or two languages </w:t>
      </w:r>
      <w:r w:rsidR="004D1802">
        <w:rPr>
          <w:rFonts w:asciiTheme="minorHAnsi" w:hAnsiTheme="minorHAnsi" w:cstheme="minorHAnsi"/>
          <w:lang w:val="en-US"/>
        </w:rPr>
        <w:t>, or</w:t>
      </w:r>
      <w:r w:rsidRPr="005C586F">
        <w:rPr>
          <w:rFonts w:asciiTheme="minorHAnsi" w:hAnsiTheme="minorHAnsi" w:cstheme="minorHAnsi"/>
          <w:lang w:val="en-US"/>
        </w:rPr>
        <w:t xml:space="preserve"> replaced with audio recordings. Several States found that reducing paper documentation was a priority in reducing costs.</w:t>
      </w:r>
    </w:p>
    <w:p w:rsidR="00571092" w:rsidRPr="005C586F" w:rsidRDefault="00571092" w:rsidP="005C586F">
      <w:pPr>
        <w:pStyle w:val="ListParagraph"/>
        <w:tabs>
          <w:tab w:val="left" w:pos="709"/>
        </w:tabs>
        <w:spacing w:after="0" w:line="240" w:lineRule="auto"/>
        <w:ind w:left="0"/>
        <w:jc w:val="both"/>
        <w:rPr>
          <w:rFonts w:asciiTheme="minorHAnsi" w:hAnsiTheme="minorHAnsi" w:cstheme="minorHAnsi"/>
          <w:lang w:val="en-US"/>
        </w:rPr>
      </w:pPr>
    </w:p>
    <w:p w:rsidR="00F21914" w:rsidRPr="005C586F" w:rsidRDefault="003B251E"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Several States supported adherence to strict page limitations to State</w:t>
      </w:r>
      <w:r w:rsidR="00D40377">
        <w:rPr>
          <w:rFonts w:asciiTheme="minorHAnsi" w:hAnsiTheme="minorHAnsi" w:cstheme="minorHAnsi"/>
          <w:lang w:val="en-US"/>
        </w:rPr>
        <w:t>s</w:t>
      </w:r>
      <w:r w:rsidRPr="005C586F">
        <w:rPr>
          <w:rFonts w:asciiTheme="minorHAnsi" w:hAnsiTheme="minorHAnsi" w:cstheme="minorHAnsi"/>
          <w:lang w:val="en-US"/>
        </w:rPr>
        <w:t xml:space="preserve"> parties’ reports, while some noted that State</w:t>
      </w:r>
      <w:r w:rsidR="00D40377">
        <w:rPr>
          <w:rFonts w:asciiTheme="minorHAnsi" w:hAnsiTheme="minorHAnsi" w:cstheme="minorHAnsi"/>
          <w:lang w:val="en-US"/>
        </w:rPr>
        <w:t>s</w:t>
      </w:r>
      <w:r w:rsidR="00832D61" w:rsidRPr="005C586F">
        <w:rPr>
          <w:rFonts w:asciiTheme="minorHAnsi" w:hAnsiTheme="minorHAnsi" w:cstheme="minorHAnsi"/>
          <w:lang w:val="en-US"/>
        </w:rPr>
        <w:t xml:space="preserve"> parties of different </w:t>
      </w:r>
      <w:r w:rsidRPr="005C586F">
        <w:rPr>
          <w:rFonts w:asciiTheme="minorHAnsi" w:hAnsiTheme="minorHAnsi" w:cstheme="minorHAnsi"/>
          <w:lang w:val="en-US"/>
        </w:rPr>
        <w:t xml:space="preserve">population </w:t>
      </w:r>
      <w:r w:rsidR="00832D61">
        <w:rPr>
          <w:rFonts w:asciiTheme="minorHAnsi" w:hAnsiTheme="minorHAnsi" w:cstheme="minorHAnsi"/>
          <w:lang w:val="en-US"/>
        </w:rPr>
        <w:t xml:space="preserve">size </w:t>
      </w:r>
      <w:r w:rsidRPr="005C586F">
        <w:rPr>
          <w:rFonts w:asciiTheme="minorHAnsi" w:hAnsiTheme="minorHAnsi" w:cstheme="minorHAnsi"/>
          <w:lang w:val="en-US"/>
        </w:rPr>
        <w:t xml:space="preserve">or </w:t>
      </w:r>
      <w:r w:rsidR="00DF1EDE" w:rsidRPr="005C586F">
        <w:rPr>
          <w:rFonts w:asciiTheme="minorHAnsi" w:hAnsiTheme="minorHAnsi" w:cstheme="minorHAnsi"/>
          <w:lang w:val="en-US"/>
        </w:rPr>
        <w:t xml:space="preserve">with a </w:t>
      </w:r>
      <w:r w:rsidRPr="005C586F">
        <w:rPr>
          <w:rFonts w:asciiTheme="minorHAnsi" w:hAnsiTheme="minorHAnsi" w:cstheme="minorHAnsi"/>
          <w:lang w:val="en-US"/>
        </w:rPr>
        <w:t xml:space="preserve">complexity of issues may require different page limitations. It was also noted that treaty </w:t>
      </w:r>
      <w:r w:rsidR="00DF1EDE" w:rsidRPr="005C586F">
        <w:rPr>
          <w:rFonts w:asciiTheme="minorHAnsi" w:hAnsiTheme="minorHAnsi" w:cstheme="minorHAnsi"/>
          <w:lang w:val="en-US"/>
        </w:rPr>
        <w:t xml:space="preserve">bodies in their </w:t>
      </w:r>
      <w:r w:rsidRPr="005C586F">
        <w:rPr>
          <w:rFonts w:asciiTheme="minorHAnsi" w:hAnsiTheme="minorHAnsi" w:cstheme="minorHAnsi"/>
          <w:lang w:val="en-US"/>
        </w:rPr>
        <w:t xml:space="preserve">requests </w:t>
      </w:r>
      <w:r w:rsidR="00F21914" w:rsidRPr="005C586F">
        <w:rPr>
          <w:rFonts w:asciiTheme="minorHAnsi" w:hAnsiTheme="minorHAnsi" w:cstheme="minorHAnsi"/>
          <w:lang w:val="en-US"/>
        </w:rPr>
        <w:t xml:space="preserve">for information </w:t>
      </w:r>
      <w:r w:rsidRPr="005C586F">
        <w:rPr>
          <w:rFonts w:asciiTheme="minorHAnsi" w:hAnsiTheme="minorHAnsi" w:cstheme="minorHAnsi"/>
          <w:lang w:val="en-US"/>
        </w:rPr>
        <w:t xml:space="preserve">should </w:t>
      </w:r>
      <w:r w:rsidR="00832D61">
        <w:rPr>
          <w:rFonts w:asciiTheme="minorHAnsi" w:hAnsiTheme="minorHAnsi" w:cstheme="minorHAnsi"/>
          <w:lang w:val="en-US"/>
        </w:rPr>
        <w:t xml:space="preserve">also </w:t>
      </w:r>
      <w:r w:rsidRPr="005C586F">
        <w:rPr>
          <w:rFonts w:asciiTheme="minorHAnsi" w:hAnsiTheme="minorHAnsi" w:cstheme="minorHAnsi"/>
          <w:lang w:val="en-US"/>
        </w:rPr>
        <w:t xml:space="preserve">be </w:t>
      </w:r>
      <w:r w:rsidR="00832D61" w:rsidRPr="005C586F">
        <w:rPr>
          <w:rFonts w:asciiTheme="minorHAnsi" w:hAnsiTheme="minorHAnsi" w:cstheme="minorHAnsi"/>
          <w:lang w:val="en-US"/>
        </w:rPr>
        <w:t>mindful of the page limitations</w:t>
      </w:r>
      <w:r w:rsidRPr="005C586F">
        <w:rPr>
          <w:rFonts w:asciiTheme="minorHAnsi" w:hAnsiTheme="minorHAnsi" w:cstheme="minorHAnsi"/>
          <w:lang w:val="en-US"/>
        </w:rPr>
        <w:t xml:space="preserve"> </w:t>
      </w:r>
      <w:r w:rsidR="004D1802">
        <w:rPr>
          <w:rFonts w:asciiTheme="minorHAnsi" w:hAnsiTheme="minorHAnsi" w:cstheme="minorHAnsi"/>
          <w:lang w:val="en-US"/>
        </w:rPr>
        <w:t>and set</w:t>
      </w:r>
      <w:r w:rsidR="00DF1EDE" w:rsidRPr="005C586F">
        <w:rPr>
          <w:rFonts w:asciiTheme="minorHAnsi" w:hAnsiTheme="minorHAnsi" w:cstheme="minorHAnsi"/>
          <w:lang w:val="en-US"/>
        </w:rPr>
        <w:t xml:space="preserve"> a limit to the</w:t>
      </w:r>
      <w:r w:rsidRPr="005C586F">
        <w:rPr>
          <w:rFonts w:asciiTheme="minorHAnsi" w:hAnsiTheme="minorHAnsi" w:cstheme="minorHAnsi"/>
          <w:lang w:val="en-US"/>
        </w:rPr>
        <w:t xml:space="preserve"> number of questions in the list of issues prior to repo</w:t>
      </w:r>
      <w:r w:rsidR="00F21914" w:rsidRPr="005C586F">
        <w:rPr>
          <w:rFonts w:asciiTheme="minorHAnsi" w:hAnsiTheme="minorHAnsi" w:cstheme="minorHAnsi"/>
          <w:lang w:val="en-US"/>
        </w:rPr>
        <w:t>rting</w:t>
      </w:r>
      <w:r w:rsidR="00832D61">
        <w:rPr>
          <w:rFonts w:asciiTheme="minorHAnsi" w:hAnsiTheme="minorHAnsi" w:cstheme="minorHAnsi"/>
          <w:lang w:val="en-US"/>
        </w:rPr>
        <w:t xml:space="preserve"> (LOIPR)</w:t>
      </w:r>
      <w:r w:rsidR="00F21914" w:rsidRPr="005C586F">
        <w:rPr>
          <w:rFonts w:asciiTheme="minorHAnsi" w:hAnsiTheme="minorHAnsi" w:cstheme="minorHAnsi"/>
          <w:lang w:val="en-US"/>
        </w:rPr>
        <w:t xml:space="preserve"> to enable State</w:t>
      </w:r>
      <w:r w:rsidR="00D40377">
        <w:rPr>
          <w:rFonts w:asciiTheme="minorHAnsi" w:hAnsiTheme="minorHAnsi" w:cstheme="minorHAnsi"/>
          <w:lang w:val="en-US"/>
        </w:rPr>
        <w:t>s</w:t>
      </w:r>
      <w:r w:rsidR="00F21914" w:rsidRPr="005C586F">
        <w:rPr>
          <w:rFonts w:asciiTheme="minorHAnsi" w:hAnsiTheme="minorHAnsi" w:cstheme="minorHAnsi"/>
          <w:lang w:val="en-US"/>
        </w:rPr>
        <w:t xml:space="preserve"> parties</w:t>
      </w:r>
      <w:r w:rsidRPr="005C586F">
        <w:rPr>
          <w:rFonts w:asciiTheme="minorHAnsi" w:hAnsiTheme="minorHAnsi" w:cstheme="minorHAnsi"/>
          <w:lang w:val="en-US"/>
        </w:rPr>
        <w:t xml:space="preserve"> to </w:t>
      </w:r>
      <w:r w:rsidR="00832D61">
        <w:rPr>
          <w:rFonts w:asciiTheme="minorHAnsi" w:hAnsiTheme="minorHAnsi" w:cstheme="minorHAnsi"/>
          <w:lang w:val="en-US"/>
        </w:rPr>
        <w:t>fulfill</w:t>
      </w:r>
      <w:r w:rsidRPr="005C586F">
        <w:rPr>
          <w:rFonts w:asciiTheme="minorHAnsi" w:hAnsiTheme="minorHAnsi" w:cstheme="minorHAnsi"/>
          <w:lang w:val="en-US"/>
        </w:rPr>
        <w:t xml:space="preserve"> </w:t>
      </w:r>
      <w:r w:rsidR="00832D61">
        <w:rPr>
          <w:rFonts w:asciiTheme="minorHAnsi" w:hAnsiTheme="minorHAnsi" w:cstheme="minorHAnsi"/>
          <w:lang w:val="en-US"/>
        </w:rPr>
        <w:t>this requirement</w:t>
      </w:r>
      <w:r w:rsidRPr="005C586F">
        <w:rPr>
          <w:rFonts w:asciiTheme="minorHAnsi" w:hAnsiTheme="minorHAnsi" w:cstheme="minorHAnsi"/>
          <w:lang w:val="en-US"/>
        </w:rPr>
        <w:t>.</w:t>
      </w:r>
    </w:p>
    <w:p w:rsidR="00F21914" w:rsidRPr="005C586F" w:rsidRDefault="00F21914" w:rsidP="005C586F">
      <w:pPr>
        <w:pStyle w:val="ListParagraph"/>
        <w:tabs>
          <w:tab w:val="left" w:pos="567"/>
        </w:tabs>
        <w:spacing w:after="0" w:line="240" w:lineRule="auto"/>
        <w:ind w:left="0"/>
        <w:jc w:val="both"/>
        <w:rPr>
          <w:rFonts w:asciiTheme="minorHAnsi" w:hAnsiTheme="minorHAnsi" w:cstheme="minorHAnsi"/>
          <w:lang w:val="en-US"/>
        </w:rPr>
      </w:pPr>
    </w:p>
    <w:p w:rsidR="00962145" w:rsidRPr="005C586F" w:rsidRDefault="00F21914" w:rsidP="005C586F">
      <w:pPr>
        <w:pStyle w:val="ListParagraph"/>
        <w:numPr>
          <w:ilvl w:val="0"/>
          <w:numId w:val="5"/>
        </w:numPr>
        <w:tabs>
          <w:tab w:val="left" w:pos="567"/>
        </w:tabs>
        <w:spacing w:after="0" w:line="240" w:lineRule="auto"/>
        <w:ind w:left="0" w:firstLine="0"/>
        <w:jc w:val="both"/>
        <w:rPr>
          <w:rFonts w:asciiTheme="minorHAnsi" w:hAnsiTheme="minorHAnsi" w:cstheme="minorHAnsi"/>
          <w:lang w:val="en-US"/>
        </w:rPr>
      </w:pPr>
      <w:r w:rsidRPr="005C586F">
        <w:rPr>
          <w:rFonts w:asciiTheme="minorHAnsi" w:hAnsiTheme="minorHAnsi" w:cstheme="minorHAnsi"/>
          <w:lang w:val="en-US"/>
        </w:rPr>
        <w:t xml:space="preserve">Some States recommended that </w:t>
      </w:r>
      <w:r w:rsidR="00DF1EDE" w:rsidRPr="005C586F">
        <w:rPr>
          <w:rFonts w:asciiTheme="minorHAnsi" w:hAnsiTheme="minorHAnsi" w:cstheme="minorHAnsi"/>
          <w:lang w:val="en-US"/>
        </w:rPr>
        <w:t>treaty bodies should</w:t>
      </w:r>
      <w:r w:rsidRPr="005C586F">
        <w:rPr>
          <w:rFonts w:asciiTheme="minorHAnsi" w:hAnsiTheme="minorHAnsi" w:cstheme="minorHAnsi"/>
          <w:lang w:val="en-US"/>
        </w:rPr>
        <w:t xml:space="preserve"> focus </w:t>
      </w:r>
      <w:r w:rsidR="00DF1EDE" w:rsidRPr="005C586F">
        <w:rPr>
          <w:rFonts w:asciiTheme="minorHAnsi" w:hAnsiTheme="minorHAnsi" w:cstheme="minorHAnsi"/>
          <w:lang w:val="en-US"/>
        </w:rPr>
        <w:t xml:space="preserve">exclusively </w:t>
      </w:r>
      <w:r w:rsidRPr="005C586F">
        <w:rPr>
          <w:rFonts w:asciiTheme="minorHAnsi" w:hAnsiTheme="minorHAnsi" w:cstheme="minorHAnsi"/>
          <w:lang w:val="en-US"/>
        </w:rPr>
        <w:t xml:space="preserve">on </w:t>
      </w:r>
      <w:r w:rsidR="00DF1EDE" w:rsidRPr="005C586F">
        <w:rPr>
          <w:rFonts w:asciiTheme="minorHAnsi" w:hAnsiTheme="minorHAnsi" w:cstheme="minorHAnsi"/>
          <w:lang w:val="en-US"/>
        </w:rPr>
        <w:t xml:space="preserve">the </w:t>
      </w:r>
      <w:r w:rsidRPr="005C586F">
        <w:rPr>
          <w:rFonts w:asciiTheme="minorHAnsi" w:hAnsiTheme="minorHAnsi" w:cstheme="minorHAnsi"/>
          <w:lang w:val="en-US"/>
        </w:rPr>
        <w:t xml:space="preserve">consideration of State parties’ reports rather than on developing general comments and other tasks. A treaty body member clarified that such other tasks were often conducted outside of formal </w:t>
      </w:r>
      <w:r w:rsidR="00280EBA">
        <w:rPr>
          <w:rFonts w:asciiTheme="minorHAnsi" w:hAnsiTheme="minorHAnsi" w:cstheme="minorHAnsi"/>
          <w:lang w:val="en-US"/>
        </w:rPr>
        <w:t>meeting</w:t>
      </w:r>
      <w:r w:rsidR="00280EBA" w:rsidRPr="005C586F">
        <w:rPr>
          <w:rFonts w:asciiTheme="minorHAnsi" w:hAnsiTheme="minorHAnsi" w:cstheme="minorHAnsi"/>
          <w:lang w:val="en-US"/>
        </w:rPr>
        <w:t xml:space="preserve"> </w:t>
      </w:r>
      <w:r w:rsidRPr="005C586F">
        <w:rPr>
          <w:rFonts w:asciiTheme="minorHAnsi" w:hAnsiTheme="minorHAnsi" w:cstheme="minorHAnsi"/>
          <w:lang w:val="en-US"/>
        </w:rPr>
        <w:t>time, for example during weekends or in between sessions.</w:t>
      </w:r>
    </w:p>
    <w:p w:rsidR="00F21914" w:rsidRPr="005C586F" w:rsidRDefault="00F21914" w:rsidP="005C586F">
      <w:pPr>
        <w:pStyle w:val="ListParagraph"/>
        <w:tabs>
          <w:tab w:val="left" w:pos="567"/>
        </w:tabs>
        <w:spacing w:after="0" w:line="240" w:lineRule="auto"/>
        <w:ind w:left="0"/>
        <w:jc w:val="both"/>
        <w:rPr>
          <w:rFonts w:asciiTheme="minorHAnsi" w:hAnsiTheme="minorHAnsi" w:cstheme="minorHAnsi"/>
          <w:lang w:val="en-US"/>
        </w:rPr>
      </w:pPr>
    </w:p>
    <w:p w:rsidR="00E801B6" w:rsidRPr="005C586F" w:rsidRDefault="003B251E" w:rsidP="00E801B6">
      <w:pPr>
        <w:pStyle w:val="ListParagraph"/>
        <w:numPr>
          <w:ilvl w:val="0"/>
          <w:numId w:val="5"/>
        </w:numPr>
        <w:tabs>
          <w:tab w:val="left" w:pos="567"/>
        </w:tabs>
        <w:ind w:left="0" w:firstLine="1"/>
        <w:rPr>
          <w:rFonts w:asciiTheme="minorHAnsi" w:hAnsiTheme="minorHAnsi" w:cstheme="minorHAnsi"/>
          <w:bCs/>
          <w:iCs/>
        </w:rPr>
      </w:pPr>
      <w:r w:rsidRPr="005C586F">
        <w:rPr>
          <w:rFonts w:asciiTheme="minorHAnsi" w:hAnsiTheme="minorHAnsi" w:cstheme="minorHAnsi"/>
          <w:lang w:val="en-US"/>
        </w:rPr>
        <w:t xml:space="preserve"> </w:t>
      </w:r>
      <w:r w:rsidR="00E801B6" w:rsidRPr="005C586F">
        <w:rPr>
          <w:rFonts w:asciiTheme="minorHAnsi" w:hAnsiTheme="minorHAnsi" w:cstheme="minorHAnsi"/>
          <w:bCs/>
          <w:iCs/>
        </w:rPr>
        <w:t xml:space="preserve">Three members of the Human Rights Committee provided comments and </w:t>
      </w:r>
      <w:r w:rsidR="006A23E4" w:rsidRPr="005C586F">
        <w:rPr>
          <w:rFonts w:asciiTheme="minorHAnsi" w:hAnsiTheme="minorHAnsi" w:cstheme="minorHAnsi"/>
          <w:bCs/>
          <w:iCs/>
        </w:rPr>
        <w:t>answers to questions raised. Ms</w:t>
      </w:r>
      <w:r w:rsidR="00E801B6" w:rsidRPr="005C586F">
        <w:rPr>
          <w:rFonts w:asciiTheme="minorHAnsi" w:hAnsiTheme="minorHAnsi" w:cstheme="minorHAnsi"/>
          <w:bCs/>
          <w:iCs/>
        </w:rPr>
        <w:t xml:space="preserve"> Christine C</w:t>
      </w:r>
      <w:r w:rsidR="006A23E4" w:rsidRPr="005C586F">
        <w:rPr>
          <w:rFonts w:asciiTheme="minorHAnsi" w:hAnsiTheme="minorHAnsi" w:cstheme="minorHAnsi"/>
          <w:bCs/>
          <w:iCs/>
        </w:rPr>
        <w:t>hanet clarified that the LOIPR</w:t>
      </w:r>
      <w:r w:rsidR="00E801B6" w:rsidRPr="005C586F">
        <w:rPr>
          <w:rFonts w:asciiTheme="minorHAnsi" w:hAnsiTheme="minorHAnsi" w:cstheme="minorHAnsi"/>
          <w:bCs/>
          <w:iCs/>
        </w:rPr>
        <w:t xml:space="preserve"> is an optional procedure and is bound to benefit States as it avoids repetition and en</w:t>
      </w:r>
      <w:r w:rsidR="006A23E4" w:rsidRPr="005C586F">
        <w:rPr>
          <w:rFonts w:asciiTheme="minorHAnsi" w:hAnsiTheme="minorHAnsi" w:cstheme="minorHAnsi"/>
          <w:bCs/>
          <w:iCs/>
        </w:rPr>
        <w:t>courages progress over time. Ms</w:t>
      </w:r>
      <w:r w:rsidR="00E801B6" w:rsidRPr="005C586F">
        <w:rPr>
          <w:rFonts w:asciiTheme="minorHAnsi" w:hAnsiTheme="minorHAnsi" w:cstheme="minorHAnsi"/>
          <w:bCs/>
          <w:iCs/>
        </w:rPr>
        <w:t xml:space="preserve"> Chanet noted the importance of the question of languages and that any reduction of languages must be discussed with </w:t>
      </w:r>
      <w:r w:rsidR="006A23E4" w:rsidRPr="005C586F">
        <w:rPr>
          <w:rFonts w:asciiTheme="minorHAnsi" w:hAnsiTheme="minorHAnsi" w:cstheme="minorHAnsi"/>
          <w:bCs/>
          <w:iCs/>
        </w:rPr>
        <w:t xml:space="preserve">treaty body members. </w:t>
      </w:r>
      <w:r w:rsidR="00086145">
        <w:rPr>
          <w:rFonts w:asciiTheme="minorHAnsi" w:hAnsiTheme="minorHAnsi" w:cstheme="minorHAnsi"/>
          <w:bCs/>
          <w:iCs/>
        </w:rPr>
        <w:t xml:space="preserve">In her view documents should be translated in other languages and not only available in one. </w:t>
      </w:r>
      <w:r w:rsidR="006A23E4">
        <w:rPr>
          <w:rFonts w:asciiTheme="minorHAnsi" w:hAnsiTheme="minorHAnsi" w:cstheme="minorHAnsi"/>
          <w:bCs/>
          <w:iCs/>
        </w:rPr>
        <w:t xml:space="preserve">She </w:t>
      </w:r>
      <w:r w:rsidR="00E801B6" w:rsidRPr="005C586F">
        <w:rPr>
          <w:rFonts w:asciiTheme="minorHAnsi" w:hAnsiTheme="minorHAnsi" w:cstheme="minorHAnsi"/>
          <w:bCs/>
          <w:iCs/>
        </w:rPr>
        <w:t>stressed the importance of the independence of treaty body members</w:t>
      </w:r>
      <w:r w:rsidR="00352CDD">
        <w:rPr>
          <w:rFonts w:asciiTheme="minorHAnsi" w:hAnsiTheme="minorHAnsi" w:cstheme="minorHAnsi"/>
          <w:bCs/>
          <w:iCs/>
        </w:rPr>
        <w:t xml:space="preserve">, and the fact that treaty bodies </w:t>
      </w:r>
      <w:r w:rsidR="00086145">
        <w:rPr>
          <w:rFonts w:asciiTheme="minorHAnsi" w:hAnsiTheme="minorHAnsi" w:cstheme="minorHAnsi"/>
          <w:bCs/>
          <w:iCs/>
        </w:rPr>
        <w:t>should determine their own methods of work</w:t>
      </w:r>
      <w:r w:rsidR="00E801B6" w:rsidRPr="005C586F">
        <w:rPr>
          <w:rFonts w:asciiTheme="minorHAnsi" w:hAnsiTheme="minorHAnsi" w:cstheme="minorHAnsi"/>
          <w:bCs/>
          <w:iCs/>
        </w:rPr>
        <w:t>.</w:t>
      </w:r>
      <w:r w:rsidR="00B64900" w:rsidRPr="005C586F">
        <w:rPr>
          <w:rFonts w:asciiTheme="minorHAnsi" w:hAnsiTheme="minorHAnsi" w:cstheme="minorHAnsi"/>
          <w:bCs/>
          <w:iCs/>
        </w:rPr>
        <w:t xml:space="preserve"> </w:t>
      </w:r>
      <w:r w:rsidR="006A23E4">
        <w:rPr>
          <w:rFonts w:asciiTheme="minorHAnsi" w:hAnsiTheme="minorHAnsi" w:cstheme="minorHAnsi"/>
          <w:bCs/>
          <w:iCs/>
        </w:rPr>
        <w:t xml:space="preserve">In reply to the suggestion made </w:t>
      </w:r>
      <w:r w:rsidR="009E5293">
        <w:rPr>
          <w:rFonts w:asciiTheme="minorHAnsi" w:hAnsiTheme="minorHAnsi" w:cstheme="minorHAnsi"/>
          <w:bCs/>
          <w:iCs/>
        </w:rPr>
        <w:t xml:space="preserve">by some States </w:t>
      </w:r>
      <w:r w:rsidR="006A23E4">
        <w:rPr>
          <w:rFonts w:asciiTheme="minorHAnsi" w:hAnsiTheme="minorHAnsi" w:cstheme="minorHAnsi"/>
          <w:bCs/>
          <w:iCs/>
        </w:rPr>
        <w:t xml:space="preserve">that treaty bodies should </w:t>
      </w:r>
      <w:r w:rsidR="006A23E4" w:rsidRPr="005C586F">
        <w:rPr>
          <w:rFonts w:asciiTheme="minorHAnsi" w:hAnsiTheme="minorHAnsi" w:cstheme="minorHAnsi"/>
          <w:bCs/>
          <w:iCs/>
        </w:rPr>
        <w:t>work</w:t>
      </w:r>
      <w:r w:rsidR="00E801B6" w:rsidRPr="005C586F">
        <w:rPr>
          <w:rFonts w:asciiTheme="minorHAnsi" w:hAnsiTheme="minorHAnsi" w:cstheme="minorHAnsi"/>
          <w:bCs/>
          <w:iCs/>
        </w:rPr>
        <w:t xml:space="preserve"> in parallel chambers</w:t>
      </w:r>
      <w:r w:rsidR="009E5293">
        <w:rPr>
          <w:rFonts w:asciiTheme="minorHAnsi" w:hAnsiTheme="minorHAnsi" w:cstheme="minorHAnsi"/>
          <w:bCs/>
          <w:iCs/>
        </w:rPr>
        <w:t>, Ms Chanet explained that</w:t>
      </w:r>
      <w:r w:rsidR="009E5293" w:rsidRPr="005C586F">
        <w:rPr>
          <w:rFonts w:asciiTheme="minorHAnsi" w:hAnsiTheme="minorHAnsi" w:cstheme="minorHAnsi"/>
          <w:bCs/>
          <w:iCs/>
        </w:rPr>
        <w:t xml:space="preserve"> such </w:t>
      </w:r>
      <w:r w:rsidR="009E5293">
        <w:rPr>
          <w:rFonts w:asciiTheme="minorHAnsi" w:hAnsiTheme="minorHAnsi" w:cstheme="minorHAnsi"/>
          <w:bCs/>
          <w:iCs/>
        </w:rPr>
        <w:t xml:space="preserve">practice </w:t>
      </w:r>
      <w:r w:rsidR="00B64900" w:rsidRPr="005C586F">
        <w:rPr>
          <w:rFonts w:asciiTheme="minorHAnsi" w:hAnsiTheme="minorHAnsi" w:cstheme="minorHAnsi"/>
          <w:bCs/>
          <w:iCs/>
        </w:rPr>
        <w:t xml:space="preserve">would </w:t>
      </w:r>
      <w:r w:rsidR="009E5293">
        <w:rPr>
          <w:rFonts w:asciiTheme="minorHAnsi" w:hAnsiTheme="minorHAnsi" w:cstheme="minorHAnsi"/>
          <w:bCs/>
          <w:iCs/>
        </w:rPr>
        <w:t xml:space="preserve">substantially </w:t>
      </w:r>
      <w:r w:rsidR="00B64900" w:rsidRPr="005C586F">
        <w:rPr>
          <w:rFonts w:asciiTheme="minorHAnsi" w:hAnsiTheme="minorHAnsi" w:cstheme="minorHAnsi"/>
          <w:bCs/>
          <w:iCs/>
        </w:rPr>
        <w:t>increase the need for</w:t>
      </w:r>
      <w:r w:rsidR="00E801B6" w:rsidRPr="005C586F">
        <w:rPr>
          <w:rFonts w:asciiTheme="minorHAnsi" w:hAnsiTheme="minorHAnsi" w:cstheme="minorHAnsi"/>
          <w:bCs/>
          <w:iCs/>
        </w:rPr>
        <w:t xml:space="preserve"> resources</w:t>
      </w:r>
      <w:r w:rsidR="00B64900" w:rsidRPr="005C586F">
        <w:rPr>
          <w:rFonts w:asciiTheme="minorHAnsi" w:hAnsiTheme="minorHAnsi" w:cstheme="minorHAnsi"/>
          <w:bCs/>
          <w:iCs/>
        </w:rPr>
        <w:t xml:space="preserve"> in respect of documentation</w:t>
      </w:r>
      <w:r w:rsidR="00280EBA">
        <w:rPr>
          <w:rFonts w:asciiTheme="minorHAnsi" w:hAnsiTheme="minorHAnsi" w:cstheme="minorHAnsi"/>
          <w:bCs/>
          <w:iCs/>
        </w:rPr>
        <w:t>, staffing</w:t>
      </w:r>
      <w:r w:rsidR="00B64900" w:rsidRPr="005C586F">
        <w:rPr>
          <w:rFonts w:asciiTheme="minorHAnsi" w:hAnsiTheme="minorHAnsi" w:cstheme="minorHAnsi"/>
          <w:bCs/>
          <w:iCs/>
        </w:rPr>
        <w:t xml:space="preserve"> and interpretation</w:t>
      </w:r>
      <w:r w:rsidR="00E801B6" w:rsidRPr="005C586F">
        <w:rPr>
          <w:rFonts w:asciiTheme="minorHAnsi" w:hAnsiTheme="minorHAnsi" w:cstheme="minorHAnsi"/>
          <w:bCs/>
          <w:iCs/>
        </w:rPr>
        <w:t xml:space="preserve">. </w:t>
      </w:r>
    </w:p>
    <w:p w:rsidR="00E801B6" w:rsidRPr="005C586F" w:rsidRDefault="00E801B6" w:rsidP="005C586F">
      <w:pPr>
        <w:pStyle w:val="ListParagraph"/>
        <w:tabs>
          <w:tab w:val="left" w:pos="567"/>
        </w:tabs>
        <w:ind w:left="1"/>
        <w:rPr>
          <w:rFonts w:asciiTheme="minorHAnsi" w:hAnsiTheme="minorHAnsi" w:cstheme="minorHAnsi"/>
          <w:bCs/>
          <w:iCs/>
        </w:rPr>
      </w:pPr>
    </w:p>
    <w:p w:rsidR="00086145" w:rsidRDefault="00086145" w:rsidP="001566B4">
      <w:pPr>
        <w:pStyle w:val="ListParagraph"/>
        <w:numPr>
          <w:ilvl w:val="0"/>
          <w:numId w:val="5"/>
        </w:numPr>
        <w:tabs>
          <w:tab w:val="left" w:pos="567"/>
        </w:tabs>
        <w:ind w:left="0" w:firstLine="0"/>
        <w:rPr>
          <w:rFonts w:asciiTheme="minorHAnsi" w:hAnsiTheme="minorHAnsi" w:cstheme="minorHAnsi"/>
          <w:lang w:val="en"/>
        </w:rPr>
      </w:pPr>
      <w:r w:rsidRPr="00086145">
        <w:rPr>
          <w:rFonts w:asciiTheme="minorHAnsi" w:hAnsiTheme="minorHAnsi" w:cstheme="minorHAnsi"/>
          <w:lang w:val="en"/>
        </w:rPr>
        <w:t xml:space="preserve">Mr Gerald Neuman highlighted that general comments enhance the efficiency of the work of the </w:t>
      </w:r>
      <w:r w:rsidR="00352CDD">
        <w:rPr>
          <w:rFonts w:asciiTheme="minorHAnsi" w:hAnsiTheme="minorHAnsi" w:cstheme="minorHAnsi"/>
          <w:lang w:val="en"/>
        </w:rPr>
        <w:t xml:space="preserve">Human Rights </w:t>
      </w:r>
      <w:r w:rsidRPr="00086145">
        <w:rPr>
          <w:rFonts w:asciiTheme="minorHAnsi" w:hAnsiTheme="minorHAnsi" w:cstheme="minorHAnsi"/>
          <w:lang w:val="en"/>
        </w:rPr>
        <w:t xml:space="preserve">Committee by providing guidance on its consistent jurisprudence, which he considered time-saving in reviewing the large number of individual communications and also </w:t>
      </w:r>
      <w:r w:rsidR="00352CDD">
        <w:rPr>
          <w:rFonts w:asciiTheme="minorHAnsi" w:hAnsiTheme="minorHAnsi" w:cstheme="minorHAnsi"/>
          <w:lang w:val="en-US"/>
        </w:rPr>
        <w:t xml:space="preserve">in </w:t>
      </w:r>
      <w:r w:rsidRPr="00086145">
        <w:rPr>
          <w:rFonts w:asciiTheme="minorHAnsi" w:hAnsiTheme="minorHAnsi" w:cstheme="minorHAnsi"/>
          <w:lang w:val="en-US"/>
        </w:rPr>
        <w:t>keep</w:t>
      </w:r>
      <w:r w:rsidR="00352CDD">
        <w:rPr>
          <w:rFonts w:asciiTheme="minorHAnsi" w:hAnsiTheme="minorHAnsi" w:cstheme="minorHAnsi"/>
          <w:lang w:val="en-US"/>
        </w:rPr>
        <w:t>ing consistency and improving</w:t>
      </w:r>
      <w:r w:rsidRPr="00086145">
        <w:rPr>
          <w:rFonts w:asciiTheme="minorHAnsi" w:hAnsiTheme="minorHAnsi" w:cstheme="minorHAnsi"/>
          <w:lang w:val="en-US"/>
        </w:rPr>
        <w:t xml:space="preserve"> </w:t>
      </w:r>
      <w:r w:rsidR="00352CDD">
        <w:rPr>
          <w:rFonts w:asciiTheme="minorHAnsi" w:hAnsiTheme="minorHAnsi" w:cstheme="minorHAnsi"/>
          <w:lang w:val="en-US"/>
        </w:rPr>
        <w:t>the Committee’s</w:t>
      </w:r>
      <w:r w:rsidRPr="00086145">
        <w:rPr>
          <w:rFonts w:asciiTheme="minorHAnsi" w:hAnsiTheme="minorHAnsi" w:cstheme="minorHAnsi"/>
          <w:lang w:val="en-US"/>
        </w:rPr>
        <w:t xml:space="preserve"> responses and new concluding observations. </w:t>
      </w:r>
      <w:r w:rsidRPr="00086145">
        <w:rPr>
          <w:rFonts w:asciiTheme="minorHAnsi" w:hAnsiTheme="minorHAnsi" w:cstheme="minorHAnsi"/>
          <w:lang w:val="en"/>
        </w:rPr>
        <w:t xml:space="preserve">He clarified that the work of developing general comments is often done by the rapporteurs on </w:t>
      </w:r>
      <w:r w:rsidR="00352CDD">
        <w:rPr>
          <w:rFonts w:asciiTheme="minorHAnsi" w:hAnsiTheme="minorHAnsi" w:cstheme="minorHAnsi"/>
          <w:lang w:val="en"/>
        </w:rPr>
        <w:t>their</w:t>
      </w:r>
      <w:r w:rsidRPr="00086145">
        <w:rPr>
          <w:rFonts w:asciiTheme="minorHAnsi" w:hAnsiTheme="minorHAnsi" w:cstheme="minorHAnsi"/>
          <w:lang w:val="en"/>
        </w:rPr>
        <w:t xml:space="preserve"> own time</w:t>
      </w:r>
      <w:r>
        <w:rPr>
          <w:rFonts w:asciiTheme="minorHAnsi" w:hAnsiTheme="minorHAnsi" w:cstheme="minorHAnsi"/>
          <w:lang w:val="en"/>
        </w:rPr>
        <w:t>,</w:t>
      </w:r>
      <w:r w:rsidRPr="00086145">
        <w:rPr>
          <w:rFonts w:asciiTheme="minorHAnsi" w:hAnsiTheme="minorHAnsi" w:cstheme="minorHAnsi"/>
          <w:lang w:val="en"/>
        </w:rPr>
        <w:t xml:space="preserve"> as treaty body members devote large amounts of time outside sessions to treaty body work. In relation to the LOIPR, he clarified that the Human Rights Committee provides an opportunity for the State party to present any additional developments which may be relevant for the consideration of its report. </w:t>
      </w:r>
      <w:r>
        <w:rPr>
          <w:rFonts w:asciiTheme="minorHAnsi" w:hAnsiTheme="minorHAnsi" w:cstheme="minorHAnsi"/>
          <w:lang w:val="en"/>
        </w:rPr>
        <w:t>He also stated</w:t>
      </w:r>
      <w:r w:rsidRPr="00086145">
        <w:rPr>
          <w:rFonts w:asciiTheme="minorHAnsi" w:hAnsiTheme="minorHAnsi" w:cstheme="minorHAnsi"/>
          <w:lang w:val="en"/>
        </w:rPr>
        <w:t xml:space="preserve"> that </w:t>
      </w:r>
      <w:r w:rsidRPr="00086145">
        <w:rPr>
          <w:rFonts w:asciiTheme="minorHAnsi" w:hAnsiTheme="minorHAnsi" w:cstheme="minorHAnsi"/>
          <w:lang w:val="en-US"/>
        </w:rPr>
        <w:t>there are resource implic</w:t>
      </w:r>
      <w:r>
        <w:rPr>
          <w:rFonts w:asciiTheme="minorHAnsi" w:hAnsiTheme="minorHAnsi" w:cstheme="minorHAnsi"/>
          <w:lang w:val="en-US"/>
        </w:rPr>
        <w:t>ations of parallel chambers for the consideration of S</w:t>
      </w:r>
      <w:r w:rsidRPr="00086145">
        <w:rPr>
          <w:rFonts w:asciiTheme="minorHAnsi" w:hAnsiTheme="minorHAnsi" w:cstheme="minorHAnsi"/>
          <w:lang w:val="en-US"/>
        </w:rPr>
        <w:t>tate</w:t>
      </w:r>
      <w:r>
        <w:rPr>
          <w:rFonts w:asciiTheme="minorHAnsi" w:hAnsiTheme="minorHAnsi" w:cstheme="minorHAnsi"/>
          <w:lang w:val="en-US"/>
        </w:rPr>
        <w:t xml:space="preserve"> parties’</w:t>
      </w:r>
      <w:r w:rsidRPr="00086145">
        <w:rPr>
          <w:rFonts w:asciiTheme="minorHAnsi" w:hAnsiTheme="minorHAnsi" w:cstheme="minorHAnsi"/>
          <w:lang w:val="en-US"/>
        </w:rPr>
        <w:t xml:space="preserve"> reports, specifically that while it is a savings to have half the committee working on a report, in terms of the time of committee members and travel expenses, this methodology produces more documentation, more translation needs, and more meeting room costs.  </w:t>
      </w:r>
      <w:r>
        <w:rPr>
          <w:rFonts w:asciiTheme="minorHAnsi" w:hAnsiTheme="minorHAnsi" w:cstheme="minorHAnsi"/>
          <w:lang w:val="en-US"/>
        </w:rPr>
        <w:t xml:space="preserve">He considered that </w:t>
      </w:r>
      <w:r w:rsidR="003C6CF6">
        <w:rPr>
          <w:rFonts w:asciiTheme="minorHAnsi" w:hAnsiTheme="minorHAnsi" w:cstheme="minorHAnsi"/>
          <w:lang w:val="en-US"/>
        </w:rPr>
        <w:t>i</w:t>
      </w:r>
      <w:r w:rsidRPr="00086145">
        <w:rPr>
          <w:rFonts w:asciiTheme="minorHAnsi" w:hAnsiTheme="minorHAnsi" w:cstheme="minorHAnsi"/>
          <w:lang w:val="en-US"/>
        </w:rPr>
        <w:t xml:space="preserve">t is substituting one method for another, when those methods are funded out of different pools. </w:t>
      </w:r>
      <w:r>
        <w:rPr>
          <w:rFonts w:asciiTheme="minorHAnsi" w:hAnsiTheme="minorHAnsi" w:cstheme="minorHAnsi"/>
          <w:lang w:val="en-US"/>
        </w:rPr>
        <w:t>In his view, i</w:t>
      </w:r>
      <w:r w:rsidRPr="00086145">
        <w:rPr>
          <w:rFonts w:asciiTheme="minorHAnsi" w:hAnsiTheme="minorHAnsi" w:cstheme="minorHAnsi"/>
          <w:lang w:val="en-US"/>
        </w:rPr>
        <w:t xml:space="preserve">t is very important to have the authority and funding to </w:t>
      </w:r>
      <w:r w:rsidR="00352CDD">
        <w:rPr>
          <w:rFonts w:asciiTheme="minorHAnsi" w:hAnsiTheme="minorHAnsi" w:cstheme="minorHAnsi"/>
          <w:lang w:val="en-US"/>
        </w:rPr>
        <w:t>work effeciently</w:t>
      </w:r>
      <w:r w:rsidRPr="00086145">
        <w:rPr>
          <w:rFonts w:asciiTheme="minorHAnsi" w:hAnsiTheme="minorHAnsi" w:cstheme="minorHAnsi"/>
          <w:lang w:val="en-US"/>
        </w:rPr>
        <w:t xml:space="preserve">.  </w:t>
      </w:r>
      <w:r w:rsidRPr="00086145">
        <w:rPr>
          <w:rFonts w:asciiTheme="minorHAnsi" w:hAnsiTheme="minorHAnsi" w:cstheme="minorHAnsi"/>
          <w:lang w:val="en"/>
        </w:rPr>
        <w:t xml:space="preserve"> He noted that the </w:t>
      </w:r>
      <w:r w:rsidR="003C6CF6">
        <w:rPr>
          <w:rFonts w:asciiTheme="minorHAnsi" w:hAnsiTheme="minorHAnsi" w:cstheme="minorHAnsi"/>
          <w:lang w:val="en"/>
        </w:rPr>
        <w:t xml:space="preserve">Human Rights </w:t>
      </w:r>
      <w:r w:rsidRPr="00086145">
        <w:rPr>
          <w:rFonts w:asciiTheme="minorHAnsi" w:hAnsiTheme="minorHAnsi" w:cstheme="minorHAnsi"/>
          <w:lang w:val="en"/>
        </w:rPr>
        <w:t xml:space="preserve">Committee is open to proposals which are cost efficient and aims at improving human rights on the ground. </w:t>
      </w:r>
    </w:p>
    <w:p w:rsidR="003C6CF6" w:rsidRDefault="003C6CF6" w:rsidP="00840D3F">
      <w:pPr>
        <w:pStyle w:val="ListParagraph"/>
        <w:ind w:left="0"/>
        <w:rPr>
          <w:rFonts w:asciiTheme="minorHAnsi" w:hAnsiTheme="minorHAnsi" w:cstheme="minorHAnsi"/>
          <w:lang w:val="en"/>
        </w:rPr>
      </w:pPr>
    </w:p>
    <w:p w:rsidR="003C6CF6" w:rsidRDefault="003C6CF6" w:rsidP="00840D3F">
      <w:pPr>
        <w:pStyle w:val="ListParagraph"/>
        <w:numPr>
          <w:ilvl w:val="0"/>
          <w:numId w:val="5"/>
        </w:numPr>
        <w:tabs>
          <w:tab w:val="left" w:pos="567"/>
        </w:tabs>
        <w:autoSpaceDE w:val="0"/>
        <w:autoSpaceDN w:val="0"/>
        <w:adjustRightInd w:val="0"/>
        <w:spacing w:after="0" w:line="240" w:lineRule="auto"/>
        <w:ind w:left="0" w:firstLine="0"/>
        <w:jc w:val="both"/>
        <w:rPr>
          <w:rFonts w:cs="Calibri"/>
          <w:lang w:val="en"/>
        </w:rPr>
      </w:pPr>
      <w:r w:rsidRPr="003C6CF6">
        <w:rPr>
          <w:rFonts w:cs="Calibri"/>
          <w:lang w:val="en"/>
        </w:rPr>
        <w:t xml:space="preserve">Mr Walter Kalin was encouraged that many States had stressed the participation of stakeholders in the inter-governmental </w:t>
      </w:r>
      <w:r w:rsidRPr="00352CDD">
        <w:rPr>
          <w:rFonts w:cs="Calibri"/>
          <w:lang w:val="en"/>
        </w:rPr>
        <w:t xml:space="preserve">process </w:t>
      </w:r>
      <w:r w:rsidRPr="00840D3F">
        <w:rPr>
          <w:rFonts w:cs="Calibri"/>
          <w:lang w:val="en"/>
        </w:rPr>
        <w:t>including treaty body members</w:t>
      </w:r>
      <w:r w:rsidRPr="00840D3F">
        <w:t>, NHRIs and NGOs</w:t>
      </w:r>
      <w:r w:rsidRPr="00352CDD">
        <w:t xml:space="preserve">, </w:t>
      </w:r>
      <w:r w:rsidRPr="00352CDD">
        <w:rPr>
          <w:rFonts w:cs="Calibri"/>
          <w:lang w:val="en"/>
        </w:rPr>
        <w:t xml:space="preserve"> and that treaties should not be amende</w:t>
      </w:r>
      <w:r w:rsidRPr="003C6CF6">
        <w:rPr>
          <w:rFonts w:cs="Calibri"/>
          <w:lang w:val="en"/>
        </w:rPr>
        <w:t>d. Regarding work in parallel chambers, he noted that the treaties provide for quorum and that, while chambers can be used to prepare decisions, the outcome would still need to be adopted by the full Committee in plenary. Mr Kalin found that reducing meeting time for the consideration of State parties’ reports would not be possible while maintaining the quality of the treaty body reviews, as the experts need time to understand and discuss issues before adopting recommendations. If concluding observations are to be focused, the experts need time to hold a meaningful dialogue.  Shortening the dialogue would also imply more work for the State party, as it may have to respond by sending additional information in writing. Therefore, reducing time for dialogue would not result in less work.</w:t>
      </w:r>
    </w:p>
    <w:p w:rsidR="003C6CF6" w:rsidRDefault="003C6CF6" w:rsidP="00840D3F">
      <w:pPr>
        <w:pStyle w:val="ListParagraph"/>
        <w:tabs>
          <w:tab w:val="left" w:pos="567"/>
        </w:tabs>
        <w:autoSpaceDE w:val="0"/>
        <w:autoSpaceDN w:val="0"/>
        <w:adjustRightInd w:val="0"/>
        <w:spacing w:after="0" w:line="240" w:lineRule="auto"/>
        <w:ind w:left="0"/>
        <w:jc w:val="both"/>
        <w:rPr>
          <w:rFonts w:cs="Calibri"/>
          <w:lang w:val="en"/>
        </w:rPr>
      </w:pPr>
    </w:p>
    <w:p w:rsidR="003C6CF6" w:rsidRPr="003C6CF6" w:rsidRDefault="003C6CF6" w:rsidP="00840D3F">
      <w:pPr>
        <w:pStyle w:val="ListParagraph"/>
        <w:tabs>
          <w:tab w:val="left" w:pos="567"/>
        </w:tabs>
        <w:autoSpaceDE w:val="0"/>
        <w:autoSpaceDN w:val="0"/>
        <w:adjustRightInd w:val="0"/>
        <w:spacing w:after="0" w:line="240" w:lineRule="auto"/>
        <w:ind w:left="0"/>
        <w:jc w:val="both"/>
        <w:rPr>
          <w:rFonts w:cs="Calibri"/>
          <w:lang w:val="en"/>
        </w:rPr>
      </w:pPr>
    </w:p>
    <w:p w:rsidR="003C6CF6" w:rsidRPr="003C6CF6" w:rsidRDefault="003C6CF6" w:rsidP="003C6CF6">
      <w:pPr>
        <w:pStyle w:val="ListParagraph"/>
        <w:numPr>
          <w:ilvl w:val="0"/>
          <w:numId w:val="5"/>
        </w:numPr>
        <w:tabs>
          <w:tab w:val="left" w:pos="567"/>
        </w:tabs>
        <w:autoSpaceDE w:val="0"/>
        <w:autoSpaceDN w:val="0"/>
        <w:adjustRightInd w:val="0"/>
        <w:spacing w:after="0" w:line="240" w:lineRule="auto"/>
        <w:ind w:left="0" w:firstLine="0"/>
        <w:jc w:val="both"/>
        <w:rPr>
          <w:rFonts w:cs="Calibri"/>
          <w:lang w:val="en"/>
        </w:rPr>
      </w:pPr>
      <w:r w:rsidRPr="003C6CF6">
        <w:rPr>
          <w:rFonts w:cs="Calibri"/>
          <w:lang w:val="en"/>
        </w:rPr>
        <w:t>M</w:t>
      </w:r>
      <w:r w:rsidR="000A7385">
        <w:rPr>
          <w:rFonts w:cs="Calibri"/>
          <w:lang w:val="en"/>
        </w:rPr>
        <w:t xml:space="preserve">r Kalin also </w:t>
      </w:r>
      <w:r w:rsidR="00352CDD">
        <w:rPr>
          <w:rFonts w:cs="Calibri"/>
          <w:lang w:val="en"/>
        </w:rPr>
        <w:t>stressed</w:t>
      </w:r>
      <w:r w:rsidR="000A7385">
        <w:rPr>
          <w:rFonts w:cs="Calibri"/>
          <w:lang w:val="en"/>
        </w:rPr>
        <w:t xml:space="preserve"> that treaty body members consider</w:t>
      </w:r>
      <w:r w:rsidRPr="003C6CF6">
        <w:rPr>
          <w:rFonts w:cs="Calibri"/>
          <w:lang w:val="en"/>
        </w:rPr>
        <w:t xml:space="preserve"> general comments to be a core function – the ICCPR makes specific reference to General Comments in art. 40 – </w:t>
      </w:r>
      <w:r w:rsidR="000A7385">
        <w:rPr>
          <w:rFonts w:cs="Calibri"/>
          <w:lang w:val="en"/>
        </w:rPr>
        <w:t>and that one</w:t>
      </w:r>
      <w:r w:rsidRPr="003C6CF6">
        <w:rPr>
          <w:rFonts w:cs="Calibri"/>
          <w:lang w:val="en"/>
        </w:rPr>
        <w:t xml:space="preserve"> cannot claim this is not covered by </w:t>
      </w:r>
      <w:r w:rsidR="000A7385">
        <w:rPr>
          <w:rFonts w:cs="Calibri"/>
          <w:lang w:val="en"/>
        </w:rPr>
        <w:t xml:space="preserve">the treaty.  </w:t>
      </w:r>
      <w:r w:rsidRPr="003C6CF6">
        <w:rPr>
          <w:rFonts w:cs="Calibri"/>
          <w:lang w:val="en"/>
        </w:rPr>
        <w:t>While there is a potential for saving in reg</w:t>
      </w:r>
      <w:r w:rsidR="000A7385">
        <w:rPr>
          <w:rFonts w:cs="Calibri"/>
          <w:lang w:val="en"/>
        </w:rPr>
        <w:t>ard to summary records, it is important in his view</w:t>
      </w:r>
      <w:r w:rsidRPr="003C6CF6">
        <w:rPr>
          <w:rFonts w:cs="Calibri"/>
          <w:lang w:val="en"/>
        </w:rPr>
        <w:t xml:space="preserve"> to ensure that savings do not mean that </w:t>
      </w:r>
      <w:r w:rsidR="000A7385">
        <w:rPr>
          <w:rFonts w:cs="Calibri"/>
          <w:lang w:val="en"/>
        </w:rPr>
        <w:t>resources are taken away from the treaty b</w:t>
      </w:r>
      <w:r w:rsidRPr="003C6CF6">
        <w:rPr>
          <w:rFonts w:cs="Calibri"/>
          <w:lang w:val="en"/>
        </w:rPr>
        <w:t xml:space="preserve">odies, but that they are properly reallocated. </w:t>
      </w:r>
      <w:r w:rsidR="00352CDD">
        <w:rPr>
          <w:rFonts w:cs="Calibri"/>
          <w:lang w:val="en"/>
        </w:rPr>
        <w:t>He flagged that c</w:t>
      </w:r>
      <w:r w:rsidRPr="003C6CF6">
        <w:rPr>
          <w:rFonts w:cs="Calibri"/>
          <w:lang w:val="en"/>
        </w:rPr>
        <w:t xml:space="preserve">utting summary records </w:t>
      </w:r>
      <w:r w:rsidR="000A7385">
        <w:rPr>
          <w:rFonts w:cs="Calibri"/>
          <w:lang w:val="en"/>
        </w:rPr>
        <w:t>does not</w:t>
      </w:r>
      <w:r w:rsidRPr="003C6CF6">
        <w:rPr>
          <w:rFonts w:cs="Calibri"/>
          <w:lang w:val="en"/>
        </w:rPr>
        <w:t xml:space="preserve"> necessarily </w:t>
      </w:r>
      <w:r w:rsidR="000A7385">
        <w:rPr>
          <w:rFonts w:cs="Calibri"/>
          <w:lang w:val="en"/>
        </w:rPr>
        <w:t>imply</w:t>
      </w:r>
      <w:r w:rsidRPr="003C6CF6">
        <w:rPr>
          <w:rFonts w:cs="Calibri"/>
          <w:lang w:val="en"/>
        </w:rPr>
        <w:t xml:space="preserve"> that more resources are available.</w:t>
      </w:r>
    </w:p>
    <w:p w:rsidR="003C6CF6" w:rsidRDefault="003C6CF6" w:rsidP="00840D3F">
      <w:pPr>
        <w:pStyle w:val="ListParagraph"/>
        <w:tabs>
          <w:tab w:val="left" w:pos="567"/>
        </w:tabs>
        <w:autoSpaceDE w:val="0"/>
        <w:autoSpaceDN w:val="0"/>
        <w:adjustRightInd w:val="0"/>
        <w:spacing w:after="0" w:line="240" w:lineRule="auto"/>
        <w:ind w:left="0"/>
        <w:jc w:val="both"/>
        <w:rPr>
          <w:rFonts w:cs="Calibri"/>
          <w:lang w:val="en"/>
        </w:rPr>
      </w:pPr>
    </w:p>
    <w:p w:rsidR="00294BFE" w:rsidRDefault="00294BFE" w:rsidP="00343B8D">
      <w:pPr>
        <w:rPr>
          <w:rFonts w:asciiTheme="minorHAnsi" w:hAnsiTheme="minorHAnsi" w:cstheme="minorHAnsi"/>
          <w:b/>
          <w:u w:val="single"/>
          <w:lang w:val="en-US"/>
        </w:rPr>
      </w:pPr>
    </w:p>
    <w:p w:rsidR="00A068FB" w:rsidRPr="00427E9C" w:rsidRDefault="00A068FB" w:rsidP="00343B8D">
      <w:pPr>
        <w:rPr>
          <w:rFonts w:cs="Calibri"/>
          <w:b/>
          <w:u w:val="single"/>
        </w:rPr>
      </w:pPr>
      <w:r w:rsidRPr="00427E9C">
        <w:rPr>
          <w:rFonts w:cs="Calibri"/>
          <w:b/>
          <w:u w:val="single"/>
        </w:rPr>
        <w:t>Strengthening the membership of treaty bodies</w:t>
      </w:r>
    </w:p>
    <w:p w:rsidR="00A068FB" w:rsidRPr="00427E9C" w:rsidRDefault="00A068FB" w:rsidP="00343B8D">
      <w:pPr>
        <w:pStyle w:val="ListParagraph"/>
        <w:tabs>
          <w:tab w:val="left" w:pos="567"/>
        </w:tabs>
        <w:ind w:left="11"/>
        <w:jc w:val="both"/>
        <w:rPr>
          <w:rFonts w:cs="Calibri"/>
        </w:rPr>
      </w:pPr>
    </w:p>
    <w:p w:rsidR="00015584" w:rsidRDefault="00A068FB" w:rsidP="001566B4">
      <w:pPr>
        <w:pStyle w:val="ListParagraph"/>
        <w:numPr>
          <w:ilvl w:val="0"/>
          <w:numId w:val="5"/>
        </w:numPr>
        <w:tabs>
          <w:tab w:val="left" w:pos="0"/>
          <w:tab w:val="left" w:pos="567"/>
        </w:tabs>
        <w:ind w:left="0" w:firstLine="0"/>
        <w:jc w:val="both"/>
        <w:rPr>
          <w:rFonts w:cs="Calibri"/>
        </w:rPr>
      </w:pPr>
      <w:r w:rsidRPr="00427E9C">
        <w:rPr>
          <w:rFonts w:cs="Calibri"/>
        </w:rPr>
        <w:t xml:space="preserve">The segment on strengthening the membership of treaty bodies was </w:t>
      </w:r>
      <w:r w:rsidR="00B53AE4">
        <w:rPr>
          <w:rFonts w:cs="Calibri"/>
        </w:rPr>
        <w:t>moderated</w:t>
      </w:r>
      <w:r w:rsidR="00B53AE4" w:rsidRPr="00427E9C">
        <w:rPr>
          <w:rFonts w:cs="Calibri"/>
        </w:rPr>
        <w:t xml:space="preserve"> </w:t>
      </w:r>
      <w:r w:rsidRPr="00427E9C">
        <w:rPr>
          <w:rFonts w:cs="Calibri"/>
        </w:rPr>
        <w:t xml:space="preserve">by </w:t>
      </w:r>
      <w:r w:rsidR="00294BFE">
        <w:rPr>
          <w:rFonts w:cs="Calibri"/>
        </w:rPr>
        <w:t>Mr</w:t>
      </w:r>
      <w:r w:rsidR="00D20148" w:rsidRPr="00D20148">
        <w:rPr>
          <w:rFonts w:cs="Calibri"/>
        </w:rPr>
        <w:t xml:space="preserve"> Bertin Babadoudou, First Counselor, Permanent Mission of the Republic of Benin to the United Nations</w:t>
      </w:r>
      <w:r w:rsidRPr="00427E9C">
        <w:rPr>
          <w:rFonts w:cs="Calibri"/>
        </w:rPr>
        <w:t xml:space="preserve">. Ms Fatimata-Binta Victoria </w:t>
      </w:r>
      <w:r w:rsidR="00D20148">
        <w:rPr>
          <w:rFonts w:cs="Calibri"/>
        </w:rPr>
        <w:t xml:space="preserve">Dah </w:t>
      </w:r>
      <w:r w:rsidRPr="00427E9C">
        <w:rPr>
          <w:rFonts w:cs="Calibri"/>
        </w:rPr>
        <w:t xml:space="preserve">(Committee on the Elimination of Racial Discrimination) and </w:t>
      </w:r>
      <w:r w:rsidR="00BB719F">
        <w:rPr>
          <w:rFonts w:cs="Calibri"/>
        </w:rPr>
        <w:t>Mr</w:t>
      </w:r>
      <w:r w:rsidR="00D20148" w:rsidRPr="00D20148">
        <w:rPr>
          <w:rFonts w:cs="Calibri"/>
        </w:rPr>
        <w:t xml:space="preserve"> </w:t>
      </w:r>
      <w:r w:rsidR="00D20148">
        <w:rPr>
          <w:rFonts w:cs="Calibri"/>
        </w:rPr>
        <w:t>Michael O’Flaherty</w:t>
      </w:r>
      <w:r w:rsidR="00594619">
        <w:rPr>
          <w:rFonts w:cs="Calibri"/>
        </w:rPr>
        <w:t xml:space="preserve"> </w:t>
      </w:r>
      <w:r w:rsidR="00294BFE">
        <w:rPr>
          <w:rFonts w:cs="Calibri"/>
        </w:rPr>
        <w:t xml:space="preserve">(Human Rights Committee) </w:t>
      </w:r>
      <w:r w:rsidR="00594619">
        <w:rPr>
          <w:rFonts w:cs="Calibri"/>
        </w:rPr>
        <w:t>acted as resource persons</w:t>
      </w:r>
      <w:r w:rsidR="00D20148">
        <w:rPr>
          <w:rFonts w:cs="Calibri"/>
        </w:rPr>
        <w:t>.</w:t>
      </w:r>
      <w:r w:rsidR="00CB1670">
        <w:rPr>
          <w:rFonts w:cs="Calibri"/>
        </w:rPr>
        <w:t xml:space="preserve"> Mr David from OHCHR informed participants that the Annual Meeting of Chairpersons will discuss </w:t>
      </w:r>
      <w:r w:rsidR="008E0D71">
        <w:rPr>
          <w:rFonts w:cs="Calibri"/>
        </w:rPr>
        <w:t xml:space="preserve">draft guidelines on independence and impartiality of treaty body members </w:t>
      </w:r>
      <w:r w:rsidR="00CB1670">
        <w:rPr>
          <w:rFonts w:cs="Calibri"/>
        </w:rPr>
        <w:t xml:space="preserve">with a view to adopting them </w:t>
      </w:r>
      <w:r w:rsidR="008E0D71">
        <w:rPr>
          <w:rFonts w:cs="Calibri"/>
        </w:rPr>
        <w:t xml:space="preserve">in June 2012. He added that the draft is based on </w:t>
      </w:r>
      <w:r w:rsidR="00594619">
        <w:rPr>
          <w:rFonts w:cs="Calibri"/>
        </w:rPr>
        <w:t>similar guidelines elaborated by</w:t>
      </w:r>
      <w:r w:rsidR="008E0D71" w:rsidRPr="005C586F">
        <w:rPr>
          <w:rFonts w:cs="Calibri"/>
        </w:rPr>
        <w:t xml:space="preserve"> the Human Rights Committee </w:t>
      </w:r>
      <w:r w:rsidR="00594619" w:rsidRPr="005C586F">
        <w:rPr>
          <w:rFonts w:cs="Calibri"/>
        </w:rPr>
        <w:t>as well as</w:t>
      </w:r>
      <w:r w:rsidR="008E0D71" w:rsidRPr="005C586F">
        <w:rPr>
          <w:rFonts w:cs="Calibri"/>
        </w:rPr>
        <w:t xml:space="preserve"> </w:t>
      </w:r>
      <w:r w:rsidR="00594619">
        <w:rPr>
          <w:rFonts w:cs="Calibri"/>
        </w:rPr>
        <w:t xml:space="preserve">on </w:t>
      </w:r>
      <w:r w:rsidR="008E0D71" w:rsidRPr="005C586F">
        <w:rPr>
          <w:rFonts w:cs="Calibri"/>
        </w:rPr>
        <w:t>existing rules of procedure of treaty bodies</w:t>
      </w:r>
      <w:r w:rsidR="00594619">
        <w:rPr>
          <w:rFonts w:cs="Calibri"/>
        </w:rPr>
        <w:t>,</w:t>
      </w:r>
      <w:r w:rsidR="008E0D71" w:rsidRPr="005C586F">
        <w:rPr>
          <w:rFonts w:cs="Calibri"/>
        </w:rPr>
        <w:t xml:space="preserve"> and </w:t>
      </w:r>
      <w:r w:rsidR="00594619">
        <w:rPr>
          <w:rFonts w:cs="Calibri"/>
        </w:rPr>
        <w:t xml:space="preserve">that it </w:t>
      </w:r>
      <w:r w:rsidR="008E0D71" w:rsidRPr="005C586F">
        <w:rPr>
          <w:rFonts w:cs="Calibri"/>
        </w:rPr>
        <w:t xml:space="preserve">will serve as a self-regulatory </w:t>
      </w:r>
      <w:r w:rsidR="00BB719F">
        <w:rPr>
          <w:rFonts w:cs="Calibri"/>
        </w:rPr>
        <w:t>document</w:t>
      </w:r>
      <w:r w:rsidR="008E0D71" w:rsidRPr="005C586F">
        <w:rPr>
          <w:rFonts w:cs="Calibri"/>
        </w:rPr>
        <w:t xml:space="preserve"> for members in the exercise of their functions.</w:t>
      </w:r>
    </w:p>
    <w:p w:rsidR="00015584" w:rsidRDefault="00015584" w:rsidP="005C586F">
      <w:pPr>
        <w:pStyle w:val="ListParagraph"/>
        <w:tabs>
          <w:tab w:val="left" w:pos="0"/>
          <w:tab w:val="left" w:pos="426"/>
        </w:tabs>
        <w:ind w:left="0"/>
        <w:jc w:val="both"/>
        <w:rPr>
          <w:rFonts w:cs="Calibri"/>
        </w:rPr>
      </w:pPr>
    </w:p>
    <w:p w:rsidR="00015584" w:rsidRPr="005C586F" w:rsidRDefault="00BB719F" w:rsidP="001566B4">
      <w:pPr>
        <w:pStyle w:val="ListParagraph"/>
        <w:numPr>
          <w:ilvl w:val="0"/>
          <w:numId w:val="5"/>
        </w:numPr>
        <w:tabs>
          <w:tab w:val="left" w:pos="0"/>
          <w:tab w:val="left" w:pos="567"/>
        </w:tabs>
        <w:ind w:left="0" w:firstLine="0"/>
        <w:jc w:val="both"/>
        <w:rPr>
          <w:rFonts w:cs="Calibri"/>
        </w:rPr>
      </w:pPr>
      <w:r>
        <w:rPr>
          <w:rFonts w:cs="Calibri"/>
        </w:rPr>
        <w:t>Many</w:t>
      </w:r>
      <w:r w:rsidR="008E0D71" w:rsidRPr="005C586F">
        <w:rPr>
          <w:rFonts w:cs="Calibri"/>
        </w:rPr>
        <w:t xml:space="preserve"> </w:t>
      </w:r>
      <w:r w:rsidR="00BC18B5" w:rsidRPr="005C586F">
        <w:rPr>
          <w:rFonts w:cs="Calibri"/>
        </w:rPr>
        <w:t>States welcomed the initiative of the Chairpersons to adopt the above mentioned guidelines. Other</w:t>
      </w:r>
      <w:r w:rsidR="00594619" w:rsidRPr="005C586F">
        <w:rPr>
          <w:rFonts w:cs="Calibri"/>
        </w:rPr>
        <w:t xml:space="preserve">s </w:t>
      </w:r>
      <w:r w:rsidR="00BC18B5" w:rsidRPr="005C586F">
        <w:rPr>
          <w:rFonts w:cs="Calibri"/>
        </w:rPr>
        <w:t xml:space="preserve">underscored however </w:t>
      </w:r>
      <w:r w:rsidR="00594619" w:rsidRPr="005C586F">
        <w:rPr>
          <w:rFonts w:cs="Calibri"/>
        </w:rPr>
        <w:t xml:space="preserve">that </w:t>
      </w:r>
      <w:r w:rsidR="00BC18B5" w:rsidRPr="005C586F">
        <w:rPr>
          <w:rFonts w:cs="Calibri"/>
        </w:rPr>
        <w:t xml:space="preserve">the document should not touch upon the issue of eligibility of members to treaty bodies which is the sole prerogative of </w:t>
      </w:r>
      <w:r>
        <w:rPr>
          <w:rFonts w:cs="Calibri"/>
        </w:rPr>
        <w:t>State</w:t>
      </w:r>
      <w:r w:rsidR="00D40377">
        <w:rPr>
          <w:rFonts w:cs="Calibri"/>
        </w:rPr>
        <w:t>s</w:t>
      </w:r>
      <w:r w:rsidR="00594619" w:rsidRPr="005C586F">
        <w:rPr>
          <w:rFonts w:cs="Calibri"/>
        </w:rPr>
        <w:t xml:space="preserve"> parties. Some States made concrete proposals to strengthen the membership of treaty bodies through for example </w:t>
      </w:r>
      <w:r w:rsidR="00DB77DF" w:rsidRPr="005C586F">
        <w:rPr>
          <w:rFonts w:cs="Calibri"/>
        </w:rPr>
        <w:t xml:space="preserve">the </w:t>
      </w:r>
      <w:r w:rsidR="00594619" w:rsidRPr="005C586F">
        <w:rPr>
          <w:rFonts w:cs="Calibri"/>
        </w:rPr>
        <w:t xml:space="preserve">wide publicity of vacant positions by OHCHR, a compilation of good practices </w:t>
      </w:r>
      <w:r w:rsidR="00015584" w:rsidRPr="005C586F">
        <w:rPr>
          <w:rFonts w:cs="Calibri"/>
        </w:rPr>
        <w:t xml:space="preserve">also </w:t>
      </w:r>
      <w:r w:rsidR="00594619" w:rsidRPr="005C586F">
        <w:rPr>
          <w:rFonts w:cs="Calibri"/>
        </w:rPr>
        <w:t xml:space="preserve">prepared by OHCHR, </w:t>
      </w:r>
      <w:r w:rsidR="00DB77DF" w:rsidRPr="005C586F">
        <w:rPr>
          <w:rFonts w:cs="Calibri"/>
        </w:rPr>
        <w:t>a transparent national process for nominations where other actors such as nation</w:t>
      </w:r>
      <w:r w:rsidR="00015584" w:rsidRPr="005C586F">
        <w:rPr>
          <w:rFonts w:cs="Calibri"/>
        </w:rPr>
        <w:t xml:space="preserve">al human rights institutions </w:t>
      </w:r>
      <w:r w:rsidR="00044FFC" w:rsidRPr="005C586F">
        <w:rPr>
          <w:rFonts w:cs="Calibri"/>
        </w:rPr>
        <w:t xml:space="preserve">or </w:t>
      </w:r>
      <w:r w:rsidR="008E214D" w:rsidRPr="005C586F">
        <w:rPr>
          <w:rFonts w:cs="Calibri"/>
        </w:rPr>
        <w:t>non-governmental</w:t>
      </w:r>
      <w:r w:rsidR="00044FFC" w:rsidRPr="005C586F">
        <w:rPr>
          <w:rFonts w:cs="Calibri"/>
        </w:rPr>
        <w:t xml:space="preserve"> organizations </w:t>
      </w:r>
      <w:r w:rsidR="00015584" w:rsidRPr="005C586F">
        <w:rPr>
          <w:rFonts w:cs="Calibri"/>
        </w:rPr>
        <w:t>could</w:t>
      </w:r>
      <w:r w:rsidR="00DB77DF" w:rsidRPr="005C586F">
        <w:rPr>
          <w:rFonts w:cs="Calibri"/>
        </w:rPr>
        <w:t xml:space="preserve"> be involved, </w:t>
      </w:r>
      <w:r w:rsidR="00015584" w:rsidRPr="005C586F">
        <w:rPr>
          <w:rFonts w:cs="Calibri"/>
        </w:rPr>
        <w:t xml:space="preserve">and </w:t>
      </w:r>
      <w:r w:rsidR="00DB77DF" w:rsidRPr="005C586F">
        <w:rPr>
          <w:rFonts w:cs="Calibri"/>
        </w:rPr>
        <w:t xml:space="preserve">the sharing of information with candidates on the nature of the work and related </w:t>
      </w:r>
      <w:r w:rsidR="00FE3991">
        <w:rPr>
          <w:rFonts w:cs="Calibri"/>
        </w:rPr>
        <w:t>requirements</w:t>
      </w:r>
      <w:r w:rsidR="00015584" w:rsidRPr="005C586F">
        <w:rPr>
          <w:rFonts w:cs="Calibri"/>
        </w:rPr>
        <w:t xml:space="preserve">. </w:t>
      </w:r>
    </w:p>
    <w:p w:rsidR="00015584" w:rsidRPr="005C586F" w:rsidRDefault="00015584" w:rsidP="005C586F">
      <w:pPr>
        <w:pStyle w:val="ListParagraph"/>
        <w:tabs>
          <w:tab w:val="left" w:pos="0"/>
          <w:tab w:val="left" w:pos="426"/>
        </w:tabs>
        <w:ind w:left="0"/>
        <w:jc w:val="both"/>
        <w:rPr>
          <w:rFonts w:cs="Calibri"/>
        </w:rPr>
      </w:pPr>
    </w:p>
    <w:p w:rsidR="008C3575" w:rsidRPr="005C586F" w:rsidRDefault="00015584" w:rsidP="001566B4">
      <w:pPr>
        <w:pStyle w:val="ListParagraph"/>
        <w:numPr>
          <w:ilvl w:val="0"/>
          <w:numId w:val="5"/>
        </w:numPr>
        <w:tabs>
          <w:tab w:val="left" w:pos="0"/>
          <w:tab w:val="left" w:pos="567"/>
        </w:tabs>
        <w:ind w:left="0" w:firstLine="0"/>
        <w:jc w:val="both"/>
        <w:rPr>
          <w:rFonts w:cs="Calibri"/>
        </w:rPr>
      </w:pPr>
      <w:r w:rsidRPr="005C586F">
        <w:rPr>
          <w:rFonts w:cs="Calibri"/>
        </w:rPr>
        <w:t xml:space="preserve"> </w:t>
      </w:r>
      <w:r w:rsidR="008C3575" w:rsidRPr="005C586F">
        <w:rPr>
          <w:rFonts w:cs="Calibri"/>
        </w:rPr>
        <w:t>A number of</w:t>
      </w:r>
      <w:r w:rsidRPr="005C586F">
        <w:rPr>
          <w:rFonts w:cs="Calibri"/>
        </w:rPr>
        <w:t xml:space="preserve"> States recalled that w</w:t>
      </w:r>
      <w:r w:rsidR="00BB719F" w:rsidRPr="005C586F">
        <w:rPr>
          <w:rFonts w:cs="Calibri"/>
        </w:rPr>
        <w:t>hen nominating candidates State</w:t>
      </w:r>
      <w:r w:rsidR="00D40377">
        <w:rPr>
          <w:rFonts w:cs="Calibri"/>
        </w:rPr>
        <w:t>s</w:t>
      </w:r>
      <w:r w:rsidRPr="005C586F">
        <w:rPr>
          <w:rFonts w:cs="Calibri"/>
        </w:rPr>
        <w:t xml:space="preserve"> parties should bear in mind the </w:t>
      </w:r>
      <w:r w:rsidR="008C5495">
        <w:rPr>
          <w:rFonts w:cs="Calibri"/>
        </w:rPr>
        <w:t>principles</w:t>
      </w:r>
      <w:r w:rsidRPr="005C586F">
        <w:rPr>
          <w:rFonts w:cs="Calibri"/>
        </w:rPr>
        <w:t xml:space="preserve"> of expertise in the area covered by the treaty concerned, independence and </w:t>
      </w:r>
      <w:r w:rsidR="003F35E5" w:rsidRPr="005C586F">
        <w:rPr>
          <w:rFonts w:cs="Calibri"/>
        </w:rPr>
        <w:t>availability, and</w:t>
      </w:r>
      <w:r w:rsidR="00692E42" w:rsidRPr="005C586F">
        <w:rPr>
          <w:rFonts w:cs="Calibri"/>
        </w:rPr>
        <w:t xml:space="preserve"> </w:t>
      </w:r>
      <w:r w:rsidR="008C5495">
        <w:rPr>
          <w:rFonts w:cs="Calibri"/>
        </w:rPr>
        <w:t>believed</w:t>
      </w:r>
      <w:r w:rsidR="00692E42" w:rsidRPr="005C586F">
        <w:rPr>
          <w:rFonts w:cs="Calibri"/>
        </w:rPr>
        <w:t xml:space="preserve"> that States should abstain from nominating serving government officials.</w:t>
      </w:r>
      <w:r w:rsidR="000B51C2" w:rsidRPr="005C586F">
        <w:rPr>
          <w:rFonts w:cs="Calibri"/>
        </w:rPr>
        <w:t xml:space="preserve"> </w:t>
      </w:r>
      <w:r w:rsidR="003F35E5" w:rsidRPr="005C586F">
        <w:rPr>
          <w:rFonts w:cs="Calibri"/>
        </w:rPr>
        <w:t xml:space="preserve">On the other hand, </w:t>
      </w:r>
      <w:r w:rsidR="00294BFE">
        <w:rPr>
          <w:rFonts w:cs="Calibri"/>
        </w:rPr>
        <w:t>some</w:t>
      </w:r>
      <w:r w:rsidR="003F35E5" w:rsidRPr="005C586F">
        <w:rPr>
          <w:rFonts w:cs="Calibri"/>
        </w:rPr>
        <w:t xml:space="preserve"> States were of the view that the inclusion of the latter in treaty bodies’ membership should not be perceived </w:t>
      </w:r>
      <w:r w:rsidR="00294BFE">
        <w:rPr>
          <w:rFonts w:cs="Calibri"/>
        </w:rPr>
        <w:t>negatively</w:t>
      </w:r>
      <w:r w:rsidR="003F35E5" w:rsidRPr="005C586F">
        <w:rPr>
          <w:rFonts w:cs="Calibri"/>
        </w:rPr>
        <w:t xml:space="preserve"> but rather as a means to strengthen their expertise</w:t>
      </w:r>
      <w:r w:rsidR="0072338F">
        <w:rPr>
          <w:rFonts w:cs="Calibri"/>
        </w:rPr>
        <w:t>, notably in the context of co</w:t>
      </w:r>
      <w:r w:rsidR="00BB719F">
        <w:rPr>
          <w:rFonts w:cs="Calibri"/>
        </w:rPr>
        <w:t>nstructive dialogues with State</w:t>
      </w:r>
      <w:r w:rsidR="00D40377">
        <w:rPr>
          <w:rFonts w:cs="Calibri"/>
        </w:rPr>
        <w:t>s</w:t>
      </w:r>
      <w:r w:rsidR="0072338F">
        <w:rPr>
          <w:rFonts w:cs="Calibri"/>
        </w:rPr>
        <w:t xml:space="preserve"> </w:t>
      </w:r>
      <w:r w:rsidR="002E6516">
        <w:rPr>
          <w:rFonts w:cs="Calibri"/>
        </w:rPr>
        <w:t>parties</w:t>
      </w:r>
      <w:r w:rsidR="003F35E5" w:rsidRPr="005C586F">
        <w:rPr>
          <w:rFonts w:cs="Calibri"/>
        </w:rPr>
        <w:t>.</w:t>
      </w:r>
      <w:r w:rsidR="001342CD" w:rsidRPr="005C586F">
        <w:rPr>
          <w:rFonts w:cs="Calibri"/>
        </w:rPr>
        <w:t xml:space="preserve"> </w:t>
      </w:r>
      <w:r w:rsidR="002E6516">
        <w:rPr>
          <w:rFonts w:cs="Calibri"/>
        </w:rPr>
        <w:t>A suggestion was made</w:t>
      </w:r>
      <w:r w:rsidR="001342CD" w:rsidRPr="005C586F">
        <w:rPr>
          <w:rFonts w:cs="Calibri"/>
        </w:rPr>
        <w:t xml:space="preserve"> </w:t>
      </w:r>
      <w:r w:rsidR="002E6516">
        <w:rPr>
          <w:rFonts w:cs="Calibri"/>
        </w:rPr>
        <w:t>whereby</w:t>
      </w:r>
      <w:r w:rsidR="001342CD" w:rsidRPr="005C586F">
        <w:rPr>
          <w:rFonts w:cs="Calibri"/>
        </w:rPr>
        <w:t xml:space="preserve"> government officials could be nominated if they were deemed to be the best candidates but that once appointed they should resign from public service.</w:t>
      </w:r>
      <w:r w:rsidR="003F35E5" w:rsidRPr="005C586F">
        <w:rPr>
          <w:rFonts w:cs="Calibri"/>
        </w:rPr>
        <w:t xml:space="preserve"> </w:t>
      </w:r>
      <w:r w:rsidR="001342CD" w:rsidRPr="005C586F">
        <w:rPr>
          <w:rFonts w:cs="Calibri"/>
        </w:rPr>
        <w:t xml:space="preserve">Some States </w:t>
      </w:r>
      <w:r w:rsidR="00B22788">
        <w:rPr>
          <w:rFonts w:cs="Calibri"/>
        </w:rPr>
        <w:t>expressed the view that</w:t>
      </w:r>
      <w:r w:rsidR="001342CD" w:rsidRPr="005C586F">
        <w:rPr>
          <w:rFonts w:cs="Calibri"/>
        </w:rPr>
        <w:t xml:space="preserve"> members should represent all regions and legal systems of the world in the light of the universality of human rights.</w:t>
      </w:r>
      <w:r w:rsidR="00B22788">
        <w:rPr>
          <w:rFonts w:cs="Calibri"/>
        </w:rPr>
        <w:t xml:space="preserve"> </w:t>
      </w:r>
      <w:r w:rsidR="007A3BFA">
        <w:rPr>
          <w:rFonts w:cs="Calibri"/>
        </w:rPr>
        <w:t xml:space="preserve">A few </w:t>
      </w:r>
      <w:r w:rsidR="003034D5">
        <w:rPr>
          <w:rFonts w:cs="Calibri"/>
        </w:rPr>
        <w:t>State</w:t>
      </w:r>
      <w:r w:rsidR="007A3BFA">
        <w:rPr>
          <w:rFonts w:cs="Calibri"/>
        </w:rPr>
        <w:t>s</w:t>
      </w:r>
      <w:r w:rsidR="003034D5">
        <w:rPr>
          <w:rFonts w:cs="Calibri"/>
        </w:rPr>
        <w:t xml:space="preserve"> referred to the idea of introducing quotas to ensure better geographic representation in treaty body membership.</w:t>
      </w:r>
      <w:r w:rsidR="006F7C69" w:rsidDel="006F7C69">
        <w:rPr>
          <w:rStyle w:val="FootnoteReference"/>
        </w:rPr>
        <w:t xml:space="preserve"> </w:t>
      </w:r>
      <w:r w:rsidR="00B22788">
        <w:rPr>
          <w:rFonts w:cs="Calibri"/>
        </w:rPr>
        <w:t xml:space="preserve">Other States </w:t>
      </w:r>
      <w:r w:rsidR="003034D5">
        <w:rPr>
          <w:rFonts w:cs="Calibri"/>
        </w:rPr>
        <w:t>indicated that</w:t>
      </w:r>
      <w:r w:rsidR="00B22788">
        <w:rPr>
          <w:rFonts w:cs="Calibri"/>
        </w:rPr>
        <w:t xml:space="preserve"> gender balance </w:t>
      </w:r>
      <w:r w:rsidR="003034D5">
        <w:rPr>
          <w:rFonts w:cs="Calibri"/>
        </w:rPr>
        <w:t>i</w:t>
      </w:r>
      <w:r w:rsidR="00B22788">
        <w:rPr>
          <w:rFonts w:cs="Calibri"/>
        </w:rPr>
        <w:t>s an important factor to be taken into account during the election process</w:t>
      </w:r>
      <w:r w:rsidR="0072338F">
        <w:rPr>
          <w:rFonts w:cs="Calibri"/>
        </w:rPr>
        <w:t xml:space="preserve"> and that it </w:t>
      </w:r>
      <w:r w:rsidR="00BB719F">
        <w:rPr>
          <w:rFonts w:cs="Calibri"/>
        </w:rPr>
        <w:t>was the responsibility of State</w:t>
      </w:r>
      <w:r w:rsidR="0072338F">
        <w:rPr>
          <w:rFonts w:cs="Calibri"/>
        </w:rPr>
        <w:t xml:space="preserve"> parties to ensure that these criteria</w:t>
      </w:r>
      <w:r w:rsidR="0098241E">
        <w:rPr>
          <w:rFonts w:cs="Calibri"/>
        </w:rPr>
        <w:t xml:space="preserve"> are applied</w:t>
      </w:r>
      <w:r w:rsidR="00B22788">
        <w:rPr>
          <w:rFonts w:cs="Calibri"/>
        </w:rPr>
        <w:t>.</w:t>
      </w:r>
      <w:r w:rsidR="0069516F">
        <w:rPr>
          <w:rFonts w:cs="Calibri"/>
        </w:rPr>
        <w:t xml:space="preserve"> One State called for the promotion of persons with disabilities in all treaty bodies.</w:t>
      </w:r>
    </w:p>
    <w:p w:rsidR="008C3575" w:rsidRDefault="008C3575" w:rsidP="005C586F">
      <w:pPr>
        <w:pStyle w:val="ListParagraph"/>
        <w:tabs>
          <w:tab w:val="left" w:pos="0"/>
          <w:tab w:val="left" w:pos="426"/>
        </w:tabs>
        <w:ind w:left="0"/>
        <w:jc w:val="both"/>
        <w:rPr>
          <w:rFonts w:cs="Calibri"/>
        </w:rPr>
      </w:pPr>
    </w:p>
    <w:p w:rsidR="00D20148" w:rsidRDefault="000B51C2" w:rsidP="001566B4">
      <w:pPr>
        <w:pStyle w:val="ListParagraph"/>
        <w:numPr>
          <w:ilvl w:val="0"/>
          <w:numId w:val="5"/>
        </w:numPr>
        <w:tabs>
          <w:tab w:val="left" w:pos="0"/>
          <w:tab w:val="left" w:pos="567"/>
        </w:tabs>
        <w:ind w:left="0" w:firstLine="0"/>
        <w:jc w:val="both"/>
        <w:rPr>
          <w:rFonts w:cs="Calibri"/>
        </w:rPr>
      </w:pPr>
      <w:r>
        <w:rPr>
          <w:rFonts w:cs="Calibri"/>
        </w:rPr>
        <w:t>Whil</w:t>
      </w:r>
      <w:r w:rsidR="00FF48E7">
        <w:rPr>
          <w:rFonts w:cs="Calibri"/>
        </w:rPr>
        <w:t xml:space="preserve">e </w:t>
      </w:r>
      <w:r w:rsidR="008C3575">
        <w:rPr>
          <w:rFonts w:cs="Calibri"/>
        </w:rPr>
        <w:t>a few</w:t>
      </w:r>
      <w:r w:rsidR="00FF48E7">
        <w:rPr>
          <w:rFonts w:cs="Calibri"/>
        </w:rPr>
        <w:t xml:space="preserve"> States supported the idea</w:t>
      </w:r>
      <w:r>
        <w:rPr>
          <w:rFonts w:cs="Calibri"/>
        </w:rPr>
        <w:t xml:space="preserve"> </w:t>
      </w:r>
      <w:r w:rsidR="00FF48E7">
        <w:rPr>
          <w:rFonts w:cs="Calibri"/>
        </w:rPr>
        <w:t xml:space="preserve">of </w:t>
      </w:r>
      <w:r w:rsidR="00A35268">
        <w:rPr>
          <w:rFonts w:cs="Calibri"/>
        </w:rPr>
        <w:t xml:space="preserve">a code of conduct elaborated by States to regulate the behaviour of treaty body members, </w:t>
      </w:r>
      <w:r w:rsidR="002E6516">
        <w:rPr>
          <w:rFonts w:cs="Calibri"/>
        </w:rPr>
        <w:t>many</w:t>
      </w:r>
      <w:r w:rsidR="00A35268" w:rsidRPr="005C586F">
        <w:rPr>
          <w:rFonts w:cs="Calibri"/>
        </w:rPr>
        <w:t xml:space="preserve"> found</w:t>
      </w:r>
      <w:r w:rsidR="008E214D" w:rsidRPr="005C586F">
        <w:rPr>
          <w:rFonts w:cs="Calibri"/>
        </w:rPr>
        <w:t xml:space="preserve"> it </w:t>
      </w:r>
      <w:r w:rsidR="00A35268" w:rsidRPr="005C586F">
        <w:rPr>
          <w:rFonts w:cs="Calibri"/>
        </w:rPr>
        <w:t xml:space="preserve">inappropriate </w:t>
      </w:r>
      <w:r w:rsidR="001342CD">
        <w:rPr>
          <w:rFonts w:cs="Calibri"/>
        </w:rPr>
        <w:t xml:space="preserve">taking into account </w:t>
      </w:r>
      <w:r w:rsidR="00A35268" w:rsidRPr="005C586F">
        <w:rPr>
          <w:rFonts w:cs="Calibri"/>
        </w:rPr>
        <w:t xml:space="preserve">the </w:t>
      </w:r>
      <w:r w:rsidR="008E214D" w:rsidRPr="005C586F">
        <w:rPr>
          <w:rFonts w:cs="Calibri"/>
        </w:rPr>
        <w:t>independence of treaty bodies</w:t>
      </w:r>
      <w:r w:rsidR="008C3575">
        <w:rPr>
          <w:rFonts w:cs="Calibri"/>
        </w:rPr>
        <w:t xml:space="preserve"> which should be preserved</w:t>
      </w:r>
      <w:r w:rsidR="002E6516">
        <w:rPr>
          <w:rFonts w:cs="Calibri"/>
        </w:rPr>
        <w:t>,</w:t>
      </w:r>
      <w:r w:rsidR="008E214D" w:rsidRPr="005C586F">
        <w:rPr>
          <w:rFonts w:cs="Calibri"/>
        </w:rPr>
        <w:t xml:space="preserve"> and the </w:t>
      </w:r>
      <w:r w:rsidR="00A35268" w:rsidRPr="005C586F">
        <w:rPr>
          <w:rFonts w:cs="Calibri"/>
        </w:rPr>
        <w:t xml:space="preserve">collegial nature of </w:t>
      </w:r>
      <w:r w:rsidR="008E214D" w:rsidRPr="005C586F">
        <w:rPr>
          <w:rFonts w:cs="Calibri"/>
        </w:rPr>
        <w:t>their</w:t>
      </w:r>
      <w:r w:rsidR="00A35268" w:rsidRPr="005C586F">
        <w:rPr>
          <w:rFonts w:cs="Calibri"/>
        </w:rPr>
        <w:t xml:space="preserve"> work</w:t>
      </w:r>
      <w:r w:rsidR="008E214D" w:rsidRPr="005C586F">
        <w:rPr>
          <w:rFonts w:cs="Calibri"/>
        </w:rPr>
        <w:t xml:space="preserve"> with a built-in self-regulatory feature</w:t>
      </w:r>
      <w:r w:rsidR="0035667D">
        <w:rPr>
          <w:rFonts w:cs="Calibri"/>
        </w:rPr>
        <w:t xml:space="preserve">, </w:t>
      </w:r>
      <w:r w:rsidR="002E6516">
        <w:rPr>
          <w:rFonts w:cs="Calibri"/>
        </w:rPr>
        <w:t>as well as</w:t>
      </w:r>
      <w:r w:rsidR="0035667D">
        <w:rPr>
          <w:rFonts w:cs="Calibri"/>
        </w:rPr>
        <w:t xml:space="preserve"> the fact that it would be in their view in contradiction with the spirit and provision</w:t>
      </w:r>
      <w:r w:rsidR="002E6516">
        <w:rPr>
          <w:rFonts w:cs="Calibri"/>
        </w:rPr>
        <w:t>s</w:t>
      </w:r>
      <w:r w:rsidR="0035667D">
        <w:rPr>
          <w:rFonts w:cs="Calibri"/>
        </w:rPr>
        <w:t xml:space="preserve"> of the treaties</w:t>
      </w:r>
      <w:r w:rsidR="00A35268" w:rsidRPr="005C586F">
        <w:rPr>
          <w:rFonts w:cs="Calibri"/>
        </w:rPr>
        <w:t>.</w:t>
      </w:r>
      <w:r w:rsidR="008C3575">
        <w:rPr>
          <w:rFonts w:cs="Calibri"/>
        </w:rPr>
        <w:t xml:space="preserve"> Some States were of the view that there should be a limit to the number of terms members could </w:t>
      </w:r>
      <w:r w:rsidR="005C1127">
        <w:rPr>
          <w:rFonts w:cs="Calibri"/>
        </w:rPr>
        <w:t>serve</w:t>
      </w:r>
      <w:r w:rsidR="008C3575">
        <w:rPr>
          <w:rFonts w:cs="Calibri"/>
        </w:rPr>
        <w:t xml:space="preserve"> in treaty bodies</w:t>
      </w:r>
      <w:r w:rsidR="00185BD9">
        <w:rPr>
          <w:rFonts w:cs="Calibri"/>
        </w:rPr>
        <w:t>, while others were not supportive of that idea if such limitation is not stipulated in the concerned treaty.</w:t>
      </w:r>
      <w:r w:rsidR="005C1127">
        <w:rPr>
          <w:rFonts w:cs="Calibri"/>
        </w:rPr>
        <w:t xml:space="preserve"> </w:t>
      </w:r>
      <w:r w:rsidR="00DB4973">
        <w:rPr>
          <w:rFonts w:cs="Calibri"/>
        </w:rPr>
        <w:t xml:space="preserve">A number of States expressed a preference for a limit of two </w:t>
      </w:r>
      <w:r w:rsidR="002E6516">
        <w:rPr>
          <w:rFonts w:cs="Calibri"/>
        </w:rPr>
        <w:t>to</w:t>
      </w:r>
      <w:r w:rsidR="0072338F">
        <w:rPr>
          <w:rFonts w:cs="Calibri"/>
        </w:rPr>
        <w:t xml:space="preserve"> three </w:t>
      </w:r>
      <w:r w:rsidR="00DB4973">
        <w:rPr>
          <w:rFonts w:cs="Calibri"/>
        </w:rPr>
        <w:t>terms.</w:t>
      </w:r>
    </w:p>
    <w:p w:rsidR="002C6DB6" w:rsidRDefault="002C6DB6" w:rsidP="005C586F">
      <w:pPr>
        <w:pStyle w:val="ListParagraph"/>
        <w:tabs>
          <w:tab w:val="left" w:pos="0"/>
          <w:tab w:val="left" w:pos="426"/>
        </w:tabs>
        <w:ind w:left="0"/>
        <w:jc w:val="both"/>
        <w:rPr>
          <w:rFonts w:cs="Calibri"/>
        </w:rPr>
      </w:pPr>
    </w:p>
    <w:p w:rsidR="00692E42" w:rsidRPr="005C586F" w:rsidRDefault="00054F52" w:rsidP="001566B4">
      <w:pPr>
        <w:pStyle w:val="ListParagraph"/>
        <w:numPr>
          <w:ilvl w:val="0"/>
          <w:numId w:val="5"/>
        </w:numPr>
        <w:tabs>
          <w:tab w:val="left" w:pos="0"/>
          <w:tab w:val="left" w:pos="567"/>
        </w:tabs>
        <w:ind w:left="0" w:firstLine="0"/>
        <w:jc w:val="both"/>
      </w:pPr>
      <w:r w:rsidRPr="005C586F">
        <w:rPr>
          <w:rFonts w:cs="Calibri"/>
        </w:rPr>
        <w:t xml:space="preserve">Some States </w:t>
      </w:r>
      <w:r w:rsidR="002E6516">
        <w:rPr>
          <w:rFonts w:cs="Calibri"/>
        </w:rPr>
        <w:t>were of</w:t>
      </w:r>
      <w:r w:rsidRPr="005C586F">
        <w:rPr>
          <w:rFonts w:cs="Calibri"/>
        </w:rPr>
        <w:t xml:space="preserve"> the view that strengthening treaty bodies’ membership is an integral part of the current process and should also be at the heart of the intergovernmental process as the principle</w:t>
      </w:r>
      <w:r w:rsidR="00883656">
        <w:rPr>
          <w:rFonts w:cs="Calibri"/>
        </w:rPr>
        <w:t>s</w:t>
      </w:r>
      <w:r w:rsidRPr="005C586F">
        <w:rPr>
          <w:rFonts w:cs="Calibri"/>
        </w:rPr>
        <w:t xml:space="preserve"> of independence and expertise are </w:t>
      </w:r>
      <w:r w:rsidR="00883656">
        <w:rPr>
          <w:rFonts w:cs="Calibri"/>
        </w:rPr>
        <w:t>essential for</w:t>
      </w:r>
      <w:r w:rsidRPr="005C586F">
        <w:rPr>
          <w:rFonts w:cs="Calibri"/>
        </w:rPr>
        <w:t xml:space="preserve"> an efficient functioning of the treaty body system. </w:t>
      </w:r>
      <w:r w:rsidR="00D13B1B">
        <w:rPr>
          <w:rFonts w:cs="Calibri"/>
        </w:rPr>
        <w:t>Some</w:t>
      </w:r>
      <w:r w:rsidRPr="005C586F">
        <w:rPr>
          <w:rFonts w:cs="Calibri"/>
        </w:rPr>
        <w:t xml:space="preserve"> State</w:t>
      </w:r>
      <w:r w:rsidR="00D13B1B">
        <w:rPr>
          <w:rFonts w:cs="Calibri"/>
        </w:rPr>
        <w:t>s</w:t>
      </w:r>
      <w:r w:rsidRPr="005C586F">
        <w:rPr>
          <w:rFonts w:cs="Calibri"/>
        </w:rPr>
        <w:t xml:space="preserve"> </w:t>
      </w:r>
      <w:r w:rsidR="00D13B1B">
        <w:rPr>
          <w:rFonts w:cs="Calibri"/>
        </w:rPr>
        <w:t>supported</w:t>
      </w:r>
      <w:r w:rsidRPr="005C586F">
        <w:rPr>
          <w:rFonts w:cs="Calibri"/>
        </w:rPr>
        <w:t xml:space="preserve"> the </w:t>
      </w:r>
      <w:r w:rsidR="00D13B1B">
        <w:rPr>
          <w:rFonts w:cs="Calibri"/>
        </w:rPr>
        <w:t>establishment</w:t>
      </w:r>
      <w:r w:rsidRPr="005C586F">
        <w:rPr>
          <w:rFonts w:cs="Calibri"/>
        </w:rPr>
        <w:t xml:space="preserve"> of a platform </w:t>
      </w:r>
      <w:r w:rsidR="00BB719F" w:rsidRPr="005C586F">
        <w:rPr>
          <w:rFonts w:cs="Calibri"/>
        </w:rPr>
        <w:t>in the Conference of State</w:t>
      </w:r>
      <w:r w:rsidR="00D40377">
        <w:rPr>
          <w:rFonts w:cs="Calibri"/>
        </w:rPr>
        <w:t>s</w:t>
      </w:r>
      <w:r w:rsidRPr="005C586F">
        <w:rPr>
          <w:rFonts w:cs="Calibri"/>
        </w:rPr>
        <w:t xml:space="preserve"> parties for candidates to share their views and priorities on their expected assignment</w:t>
      </w:r>
      <w:r w:rsidR="002E6516">
        <w:rPr>
          <w:rFonts w:cs="Calibri"/>
        </w:rPr>
        <w:t>,</w:t>
      </w:r>
      <w:r w:rsidR="003B6305">
        <w:rPr>
          <w:rFonts w:cs="Calibri"/>
        </w:rPr>
        <w:t xml:space="preserve"> with access to video conferencing</w:t>
      </w:r>
      <w:r>
        <w:rPr>
          <w:rFonts w:cs="Calibri"/>
        </w:rPr>
        <w:t xml:space="preserve">. This was </w:t>
      </w:r>
      <w:r w:rsidR="00883656">
        <w:rPr>
          <w:rFonts w:cs="Calibri"/>
        </w:rPr>
        <w:t>deemed</w:t>
      </w:r>
      <w:r w:rsidR="003034D5">
        <w:rPr>
          <w:rFonts w:cs="Calibri"/>
        </w:rPr>
        <w:t xml:space="preserve"> highly</w:t>
      </w:r>
      <w:r w:rsidR="00BB719F">
        <w:rPr>
          <w:rFonts w:cs="Calibri"/>
        </w:rPr>
        <w:t xml:space="preserve"> important for State</w:t>
      </w:r>
      <w:r w:rsidR="00D40377">
        <w:rPr>
          <w:rFonts w:cs="Calibri"/>
        </w:rPr>
        <w:t>s</w:t>
      </w:r>
      <w:r>
        <w:rPr>
          <w:rFonts w:cs="Calibri"/>
        </w:rPr>
        <w:t xml:space="preserve"> parties when voting for candidates.</w:t>
      </w:r>
      <w:r w:rsidR="00ED792F">
        <w:rPr>
          <w:rFonts w:cs="Calibri"/>
        </w:rPr>
        <w:t xml:space="preserve"> One State presented a national practice consisting in the establishment of an independent panel tasked with the pre-screening of candidates and </w:t>
      </w:r>
      <w:r w:rsidR="00B96A11">
        <w:rPr>
          <w:rFonts w:cs="Calibri"/>
        </w:rPr>
        <w:t xml:space="preserve">making </w:t>
      </w:r>
      <w:r w:rsidR="00ED792F">
        <w:rPr>
          <w:rFonts w:cs="Calibri"/>
        </w:rPr>
        <w:t xml:space="preserve">recommendations to the Government </w:t>
      </w:r>
      <w:r w:rsidR="002E6516">
        <w:rPr>
          <w:rFonts w:cs="Calibri"/>
        </w:rPr>
        <w:t>in respect of</w:t>
      </w:r>
      <w:r w:rsidR="00ED792F">
        <w:rPr>
          <w:rFonts w:cs="Calibri"/>
        </w:rPr>
        <w:t xml:space="preserve"> the candidate to be nominated.</w:t>
      </w:r>
      <w:r w:rsidR="00B96A11">
        <w:rPr>
          <w:rFonts w:cs="Calibri"/>
        </w:rPr>
        <w:t xml:space="preserve"> </w:t>
      </w:r>
      <w:r w:rsidR="00F033E0">
        <w:rPr>
          <w:rFonts w:cs="Calibri"/>
        </w:rPr>
        <w:t xml:space="preserve">References were also made to the procedure of election of regional human rights mechanisms among good practices to be considered. </w:t>
      </w:r>
      <w:r w:rsidR="00B96A11">
        <w:rPr>
          <w:rFonts w:cs="Calibri"/>
        </w:rPr>
        <w:t>Some States called for more meetings and round-table discussions with candidates at the international level, also involving civil society organizations, so that</w:t>
      </w:r>
      <w:r w:rsidR="00BB719F">
        <w:rPr>
          <w:rFonts w:cs="Calibri"/>
        </w:rPr>
        <w:t xml:space="preserve"> State</w:t>
      </w:r>
      <w:r w:rsidR="00D40377">
        <w:rPr>
          <w:rFonts w:cs="Calibri"/>
        </w:rPr>
        <w:t>s</w:t>
      </w:r>
      <w:r w:rsidR="00B96A11">
        <w:rPr>
          <w:rFonts w:cs="Calibri"/>
        </w:rPr>
        <w:t xml:space="preserve"> parties would be more acquainted with their profile</w:t>
      </w:r>
      <w:r w:rsidR="002E6516">
        <w:rPr>
          <w:rFonts w:cs="Calibri"/>
        </w:rPr>
        <w:t>s</w:t>
      </w:r>
      <w:r w:rsidR="00B96A11">
        <w:rPr>
          <w:rFonts w:cs="Calibri"/>
        </w:rPr>
        <w:t xml:space="preserve"> and expertise.</w:t>
      </w:r>
    </w:p>
    <w:p w:rsidR="00D13B1B" w:rsidRPr="005C586F" w:rsidRDefault="00D13B1B" w:rsidP="005C586F">
      <w:pPr>
        <w:pStyle w:val="ListParagraph"/>
        <w:tabs>
          <w:tab w:val="left" w:pos="0"/>
          <w:tab w:val="left" w:pos="426"/>
        </w:tabs>
        <w:ind w:left="0"/>
        <w:jc w:val="both"/>
      </w:pPr>
    </w:p>
    <w:p w:rsidR="007A77A5" w:rsidRDefault="00D13B1B" w:rsidP="001566B4">
      <w:pPr>
        <w:pStyle w:val="ListParagraph"/>
        <w:numPr>
          <w:ilvl w:val="0"/>
          <w:numId w:val="5"/>
        </w:numPr>
        <w:tabs>
          <w:tab w:val="left" w:pos="0"/>
          <w:tab w:val="left" w:pos="567"/>
        </w:tabs>
        <w:ind w:left="0" w:firstLine="0"/>
        <w:jc w:val="both"/>
      </w:pPr>
      <w:r>
        <w:t xml:space="preserve">Some States </w:t>
      </w:r>
      <w:r w:rsidR="002E6516">
        <w:t>called on</w:t>
      </w:r>
      <w:r>
        <w:t xml:space="preserve"> OHCHR to assist</w:t>
      </w:r>
      <w:r w:rsidR="00BB719F">
        <w:t xml:space="preserve"> State</w:t>
      </w:r>
      <w:r w:rsidR="00D40377">
        <w:t>s</w:t>
      </w:r>
      <w:r>
        <w:t xml:space="preserve"> parties in the nomination process</w:t>
      </w:r>
      <w:r w:rsidR="005F53B8">
        <w:t xml:space="preserve">. </w:t>
      </w:r>
      <w:r w:rsidR="00280EBA">
        <w:t>A suggestion was made whereby t</w:t>
      </w:r>
      <w:r w:rsidR="005F53B8">
        <w:t>he Office could propose</w:t>
      </w:r>
      <w:r>
        <w:t xml:space="preserve"> a common format for CVs of candidates</w:t>
      </w:r>
      <w:r w:rsidR="002E6516" w:rsidRPr="002E6516">
        <w:t xml:space="preserve"> </w:t>
      </w:r>
      <w:r w:rsidR="002E6516">
        <w:t xml:space="preserve">which would be helpful </w:t>
      </w:r>
      <w:r w:rsidR="005F53B8">
        <w:t>for</w:t>
      </w:r>
      <w:r w:rsidR="002E6516">
        <w:t xml:space="preserve"> comparing </w:t>
      </w:r>
      <w:r w:rsidR="005F53B8">
        <w:t xml:space="preserve">their </w:t>
      </w:r>
      <w:r w:rsidR="002E6516">
        <w:t>qualifications</w:t>
      </w:r>
      <w:r w:rsidR="005F53B8">
        <w:t>;</w:t>
      </w:r>
      <w:r w:rsidR="002E6516">
        <w:t xml:space="preserve"> shar</w:t>
      </w:r>
      <w:r w:rsidR="005F53B8">
        <w:t>e</w:t>
      </w:r>
      <w:r>
        <w:t xml:space="preserve"> practical information </w:t>
      </w:r>
      <w:r w:rsidR="005F53B8">
        <w:t>addressed to</w:t>
      </w:r>
      <w:r>
        <w:t xml:space="preserve"> candidates</w:t>
      </w:r>
      <w:r w:rsidR="0072338F">
        <w:t xml:space="preserve"> particularly on workload expectations</w:t>
      </w:r>
      <w:r w:rsidR="005F53B8">
        <w:t>; and</w:t>
      </w:r>
      <w:r>
        <w:t xml:space="preserve"> </w:t>
      </w:r>
      <w:r w:rsidR="002E6516">
        <w:t>compil</w:t>
      </w:r>
      <w:r w:rsidR="005F53B8">
        <w:t>e</w:t>
      </w:r>
      <w:r>
        <w:t xml:space="preserve"> good practices, as well as feedback received from former treaty body members on the type of information which may be helpful for candidates.</w:t>
      </w:r>
      <w:r w:rsidR="00DB4973">
        <w:t xml:space="preserve"> </w:t>
      </w:r>
    </w:p>
    <w:p w:rsidR="005F53B8" w:rsidRDefault="005F53B8" w:rsidP="005C586F">
      <w:pPr>
        <w:pStyle w:val="ListParagraph"/>
        <w:tabs>
          <w:tab w:val="left" w:pos="0"/>
          <w:tab w:val="left" w:pos="426"/>
        </w:tabs>
        <w:ind w:left="0"/>
        <w:jc w:val="both"/>
      </w:pPr>
    </w:p>
    <w:p w:rsidR="00631396" w:rsidRDefault="007A77A5" w:rsidP="001566B4">
      <w:pPr>
        <w:pStyle w:val="ListParagraph"/>
        <w:numPr>
          <w:ilvl w:val="0"/>
          <w:numId w:val="5"/>
        </w:numPr>
        <w:tabs>
          <w:tab w:val="left" w:pos="0"/>
          <w:tab w:val="left" w:pos="567"/>
        </w:tabs>
        <w:ind w:left="0" w:firstLine="0"/>
        <w:jc w:val="both"/>
        <w:rPr>
          <w:lang w:val="en-US"/>
        </w:rPr>
      </w:pPr>
      <w:r>
        <w:t xml:space="preserve">The moderator then invited the treaty body members acting as resource persons to take the floor. Mr </w:t>
      </w:r>
      <w:r w:rsidR="00104F2C">
        <w:t xml:space="preserve">Michael </w:t>
      </w:r>
      <w:r>
        <w:t xml:space="preserve">O’Flaherty reaffirmed that diversity and expertise are crucial elements in the membership of a treaty body. While the presence of academic lawyers and practitioners is important in his view, it is equally important to count on the expertise of </w:t>
      </w:r>
      <w:r w:rsidR="00272317">
        <w:t>non-lawyers</w:t>
      </w:r>
      <w:r>
        <w:t xml:space="preserve"> and </w:t>
      </w:r>
      <w:r w:rsidR="00272317">
        <w:t xml:space="preserve">members with a civil society or NHRI background. He also referred to the need for diversity of legal systems (common and civil law) and social systems, as well as for more gender balance across the </w:t>
      </w:r>
      <w:r w:rsidR="00104F2C">
        <w:t>treaty bodies</w:t>
      </w:r>
      <w:r w:rsidR="00272317">
        <w:t>. In his view, it is crucial to identify candidates that are willing and available to attend treaty body sessions. He underscored the need to ensure that candidates are aware of the workload requirements as early as possible. Regarding the election process, Mr O’Flaherty referred to the importance of sharing good practices worldwide as this was not sufficiently being done. On the number of terms for which members could be nominated, he was of the view that a balance should be found as there was also a richness of having some members in a treaty body for a longer period.</w:t>
      </w:r>
      <w:r w:rsidR="00631396">
        <w:t xml:space="preserve"> Turning to the code of conduct, Mr O’Flaherty indicated that treaty bodies already self-regulate themselves, and in that context referred to the guidelines on independence of the Human Rights Committee. He clarified that the draft guidelines which the Chairpersons </w:t>
      </w:r>
      <w:r w:rsidR="00104F2C">
        <w:t>are elaborating focus</w:t>
      </w:r>
      <w:r w:rsidR="00631396">
        <w:t xml:space="preserve"> only on independence and impartiality and not on eligibility. He also referred to the Dublin II Outcome Document which </w:t>
      </w:r>
      <w:r w:rsidR="00631396" w:rsidRPr="00631396">
        <w:rPr>
          <w:lang w:val="en-US"/>
        </w:rPr>
        <w:t xml:space="preserve">encapsulates many of the proposals mentioned </w:t>
      </w:r>
      <w:r w:rsidR="00631396">
        <w:rPr>
          <w:lang w:val="en-US"/>
        </w:rPr>
        <w:t>in the course of the discussion.</w:t>
      </w:r>
    </w:p>
    <w:p w:rsidR="00631396" w:rsidRPr="00631396" w:rsidRDefault="00631396" w:rsidP="005C586F">
      <w:pPr>
        <w:pStyle w:val="ListParagraph"/>
        <w:tabs>
          <w:tab w:val="left" w:pos="0"/>
          <w:tab w:val="left" w:pos="426"/>
        </w:tabs>
        <w:ind w:left="0"/>
        <w:jc w:val="both"/>
        <w:rPr>
          <w:lang w:val="en-US"/>
        </w:rPr>
      </w:pPr>
    </w:p>
    <w:p w:rsidR="00532E68" w:rsidRPr="00EE077E" w:rsidRDefault="00981F4C" w:rsidP="001566B4">
      <w:pPr>
        <w:pStyle w:val="HChG"/>
        <w:numPr>
          <w:ilvl w:val="0"/>
          <w:numId w:val="5"/>
        </w:numPr>
        <w:tabs>
          <w:tab w:val="left" w:pos="0"/>
          <w:tab w:val="left" w:pos="567"/>
        </w:tabs>
        <w:ind w:left="0" w:right="0" w:firstLine="0"/>
        <w:jc w:val="both"/>
        <w:rPr>
          <w:rFonts w:asciiTheme="minorHAnsi" w:hAnsiTheme="minorHAnsi" w:cstheme="minorHAnsi"/>
          <w:b w:val="0"/>
          <w:sz w:val="22"/>
          <w:szCs w:val="22"/>
          <w:lang w:val="en-GB"/>
        </w:rPr>
      </w:pPr>
      <w:r w:rsidRPr="00EF5A90">
        <w:rPr>
          <w:rFonts w:asciiTheme="minorHAnsi" w:hAnsiTheme="minorHAnsi" w:cstheme="minorHAnsi"/>
          <w:b w:val="0"/>
          <w:sz w:val="22"/>
          <w:szCs w:val="22"/>
          <w:lang w:val="en-GB"/>
        </w:rPr>
        <w:t xml:space="preserve">Ms </w:t>
      </w:r>
      <w:r w:rsidR="00104F2C" w:rsidRPr="00EF5A90">
        <w:rPr>
          <w:rFonts w:asciiTheme="minorHAnsi" w:hAnsiTheme="minorHAnsi" w:cstheme="minorHAnsi"/>
          <w:b w:val="0"/>
          <w:sz w:val="22"/>
          <w:szCs w:val="22"/>
          <w:lang w:val="en-GB"/>
        </w:rPr>
        <w:t xml:space="preserve">Fatimata-Binta Victoria </w:t>
      </w:r>
      <w:r w:rsidRPr="00EF5A90">
        <w:rPr>
          <w:rFonts w:asciiTheme="minorHAnsi" w:hAnsiTheme="minorHAnsi" w:cstheme="minorHAnsi"/>
          <w:b w:val="0"/>
          <w:sz w:val="22"/>
          <w:szCs w:val="22"/>
          <w:lang w:val="en-GB"/>
        </w:rPr>
        <w:t xml:space="preserve">Dah stated that the selection and election of experts </w:t>
      </w:r>
      <w:r w:rsidR="003E1FA7" w:rsidRPr="00EF5A90">
        <w:rPr>
          <w:rFonts w:asciiTheme="minorHAnsi" w:hAnsiTheme="minorHAnsi" w:cstheme="minorHAnsi"/>
          <w:b w:val="0"/>
          <w:sz w:val="22"/>
          <w:szCs w:val="22"/>
          <w:lang w:val="en-GB"/>
        </w:rPr>
        <w:t>is</w:t>
      </w:r>
      <w:r w:rsidRPr="00EF5A90">
        <w:rPr>
          <w:rFonts w:asciiTheme="minorHAnsi" w:hAnsiTheme="minorHAnsi" w:cstheme="minorHAnsi"/>
          <w:b w:val="0"/>
          <w:sz w:val="22"/>
          <w:szCs w:val="22"/>
          <w:lang w:val="en-GB"/>
        </w:rPr>
        <w:t xml:space="preserve"> the sole prerogative of States. Referring to the limitation of terms, she acknowledged that many treaties did not contain such provision but that this was a new trend in the more recent treaties. </w:t>
      </w:r>
      <w:r w:rsidR="00104F2C" w:rsidRPr="00EF5A90">
        <w:rPr>
          <w:rFonts w:asciiTheme="minorHAnsi" w:hAnsiTheme="minorHAnsi" w:cstheme="minorHAnsi"/>
          <w:b w:val="0"/>
          <w:sz w:val="22"/>
          <w:szCs w:val="22"/>
          <w:lang w:val="en-GB"/>
        </w:rPr>
        <w:t>In her view a balance needs</w:t>
      </w:r>
      <w:r w:rsidRPr="00EF5A90">
        <w:rPr>
          <w:rFonts w:asciiTheme="minorHAnsi" w:hAnsiTheme="minorHAnsi" w:cstheme="minorHAnsi"/>
          <w:b w:val="0"/>
          <w:sz w:val="22"/>
          <w:szCs w:val="22"/>
          <w:lang w:val="en-GB"/>
        </w:rPr>
        <w:t xml:space="preserve"> to be found between a change in membership and preserving the institutional memory of a committee.</w:t>
      </w:r>
      <w:r w:rsidR="00AE6619" w:rsidRPr="00EF5A90">
        <w:rPr>
          <w:rFonts w:asciiTheme="minorHAnsi" w:hAnsiTheme="minorHAnsi" w:cstheme="minorHAnsi"/>
          <w:b w:val="0"/>
          <w:sz w:val="22"/>
          <w:szCs w:val="22"/>
          <w:lang w:val="en-GB"/>
        </w:rPr>
        <w:t xml:space="preserve"> </w:t>
      </w:r>
      <w:r w:rsidR="00AE6619" w:rsidRPr="00EE077E">
        <w:rPr>
          <w:rFonts w:asciiTheme="minorHAnsi" w:hAnsiTheme="minorHAnsi" w:cstheme="minorHAnsi"/>
          <w:b w:val="0"/>
          <w:sz w:val="22"/>
          <w:szCs w:val="22"/>
          <w:lang w:val="en-GB"/>
        </w:rPr>
        <w:t xml:space="preserve">Ms </w:t>
      </w:r>
      <w:r w:rsidRPr="00EE077E">
        <w:rPr>
          <w:rFonts w:asciiTheme="minorHAnsi" w:hAnsiTheme="minorHAnsi" w:cstheme="minorHAnsi"/>
          <w:b w:val="0"/>
          <w:sz w:val="22"/>
          <w:szCs w:val="22"/>
          <w:lang w:val="en-GB"/>
        </w:rPr>
        <w:t xml:space="preserve">Dah provided some figures regarding the </w:t>
      </w:r>
      <w:r w:rsidR="00387632" w:rsidRPr="00EE077E">
        <w:rPr>
          <w:rFonts w:asciiTheme="minorHAnsi" w:hAnsiTheme="minorHAnsi" w:cstheme="minorHAnsi"/>
          <w:b w:val="0"/>
          <w:sz w:val="22"/>
          <w:szCs w:val="22"/>
          <w:lang w:val="en-GB"/>
        </w:rPr>
        <w:t xml:space="preserve">current </w:t>
      </w:r>
      <w:r w:rsidR="003E1FA7" w:rsidRPr="00EE077E">
        <w:rPr>
          <w:rFonts w:asciiTheme="minorHAnsi" w:hAnsiTheme="minorHAnsi" w:cstheme="minorHAnsi"/>
          <w:b w:val="0"/>
          <w:sz w:val="22"/>
          <w:szCs w:val="22"/>
          <w:lang w:val="en-GB"/>
        </w:rPr>
        <w:t xml:space="preserve">overall </w:t>
      </w:r>
      <w:r w:rsidRPr="00EE077E">
        <w:rPr>
          <w:rFonts w:asciiTheme="minorHAnsi" w:hAnsiTheme="minorHAnsi" w:cstheme="minorHAnsi"/>
          <w:b w:val="0"/>
          <w:sz w:val="22"/>
          <w:szCs w:val="22"/>
          <w:lang w:val="en-GB"/>
        </w:rPr>
        <w:t>compositio</w:t>
      </w:r>
      <w:r w:rsidR="00AE6619" w:rsidRPr="00EE077E">
        <w:rPr>
          <w:rFonts w:asciiTheme="minorHAnsi" w:hAnsiTheme="minorHAnsi" w:cstheme="minorHAnsi"/>
          <w:b w:val="0"/>
          <w:sz w:val="22"/>
          <w:szCs w:val="22"/>
          <w:lang w:val="en-GB"/>
        </w:rPr>
        <w:t>n</w:t>
      </w:r>
      <w:r w:rsidR="003E1FA7" w:rsidRPr="00EE077E">
        <w:rPr>
          <w:rFonts w:asciiTheme="minorHAnsi" w:hAnsiTheme="minorHAnsi" w:cstheme="minorHAnsi"/>
          <w:b w:val="0"/>
          <w:sz w:val="22"/>
          <w:szCs w:val="22"/>
          <w:lang w:val="en-GB"/>
        </w:rPr>
        <w:t xml:space="preserve"> of the treaty bodies which are reflected below and were prepared by the Secretariat for the upcoming meeting of Chairpersons in June 2012.</w:t>
      </w:r>
      <w:r w:rsidR="00532E68" w:rsidRPr="00EE077E" w:rsidDel="00532E68">
        <w:rPr>
          <w:rFonts w:asciiTheme="minorHAnsi" w:hAnsiTheme="minorHAnsi" w:cstheme="minorHAnsi"/>
          <w:b w:val="0"/>
          <w:sz w:val="22"/>
          <w:szCs w:val="22"/>
          <w:lang w:val="en-GB"/>
        </w:rPr>
        <w:t xml:space="preserve"> </w:t>
      </w:r>
    </w:p>
    <w:p w:rsidR="00573FD9" w:rsidRPr="00EE077E" w:rsidRDefault="00573FD9" w:rsidP="00573FD9">
      <w:pPr>
        <w:rPr>
          <w:lang w:eastAsia="en-US"/>
        </w:rPr>
      </w:pPr>
    </w:p>
    <w:tbl>
      <w:tblPr>
        <w:tblW w:w="8735" w:type="dxa"/>
        <w:tblInd w:w="993" w:type="dxa"/>
        <w:tblBorders>
          <w:top w:val="single" w:sz="4" w:space="0" w:color="auto"/>
        </w:tblBorders>
        <w:tblCellMar>
          <w:left w:w="0" w:type="dxa"/>
        </w:tblCellMar>
        <w:tblLook w:val="00A0" w:firstRow="1" w:lastRow="0" w:firstColumn="1" w:lastColumn="0" w:noHBand="0" w:noVBand="0"/>
      </w:tblPr>
      <w:tblGrid>
        <w:gridCol w:w="1442"/>
        <w:gridCol w:w="1700"/>
        <w:gridCol w:w="1151"/>
        <w:gridCol w:w="1387"/>
        <w:gridCol w:w="3055"/>
      </w:tblGrid>
      <w:tr w:rsidR="00532E68" w:rsidRPr="006E1EBA" w:rsidTr="00573FD9">
        <w:trPr>
          <w:trHeight w:val="240"/>
          <w:tblHeader/>
        </w:trPr>
        <w:tc>
          <w:tcPr>
            <w:tcW w:w="8735" w:type="dxa"/>
            <w:gridSpan w:val="5"/>
            <w:tcBorders>
              <w:top w:val="single" w:sz="4" w:space="0" w:color="auto"/>
              <w:bottom w:val="single" w:sz="12" w:space="0" w:color="auto"/>
            </w:tcBorders>
            <w:shd w:val="clear" w:color="auto" w:fill="auto"/>
            <w:vAlign w:val="bottom"/>
          </w:tcPr>
          <w:p w:rsidR="00532E68" w:rsidRPr="00827486" w:rsidRDefault="00532E68" w:rsidP="00573FD9">
            <w:pPr>
              <w:spacing w:before="80" w:after="80" w:line="200" w:lineRule="exact"/>
              <w:rPr>
                <w:bCs/>
                <w:i/>
              </w:rPr>
            </w:pPr>
            <w:r w:rsidRPr="00827486">
              <w:rPr>
                <w:bCs/>
                <w:i/>
              </w:rPr>
              <w:t>All Committees</w:t>
            </w:r>
          </w:p>
        </w:tc>
      </w:tr>
      <w:tr w:rsidR="00532E68" w:rsidRPr="006E1EBA" w:rsidTr="00573FD9">
        <w:trPr>
          <w:trHeight w:val="240"/>
        </w:trPr>
        <w:tc>
          <w:tcPr>
            <w:tcW w:w="1434" w:type="dxa"/>
            <w:tcBorders>
              <w:top w:val="single" w:sz="12" w:space="0" w:color="auto"/>
            </w:tcBorders>
            <w:shd w:val="clear" w:color="auto" w:fill="auto"/>
            <w:noWrap/>
          </w:tcPr>
          <w:p w:rsidR="00532E68" w:rsidRPr="006E1EBA" w:rsidRDefault="00532E68" w:rsidP="00573FD9">
            <w:pPr>
              <w:spacing w:before="40" w:after="120" w:line="220" w:lineRule="exact"/>
              <w:rPr>
                <w:bCs/>
              </w:rPr>
            </w:pPr>
            <w:r w:rsidRPr="006E1EBA">
              <w:rPr>
                <w:bCs/>
              </w:rPr>
              <w:t>Distribution of members by gender</w:t>
            </w:r>
          </w:p>
        </w:tc>
        <w:tc>
          <w:tcPr>
            <w:tcW w:w="1692" w:type="dxa"/>
            <w:tcBorders>
              <w:top w:val="single" w:sz="12" w:space="0" w:color="auto"/>
            </w:tcBorders>
            <w:shd w:val="clear" w:color="auto" w:fill="auto"/>
            <w:noWrap/>
          </w:tcPr>
          <w:p w:rsidR="00532E68" w:rsidRPr="006E1EBA" w:rsidRDefault="00532E68" w:rsidP="00573FD9">
            <w:pPr>
              <w:spacing w:before="40" w:after="120" w:line="220" w:lineRule="exact"/>
              <w:rPr>
                <w:bCs/>
              </w:rPr>
            </w:pPr>
            <w:r w:rsidRPr="006E1EBA">
              <w:rPr>
                <w:bCs/>
              </w:rPr>
              <w:t>Distribution of members per region</w:t>
            </w:r>
          </w:p>
        </w:tc>
        <w:tc>
          <w:tcPr>
            <w:tcW w:w="1183" w:type="dxa"/>
            <w:tcBorders>
              <w:top w:val="single" w:sz="12" w:space="0" w:color="auto"/>
            </w:tcBorders>
            <w:shd w:val="clear" w:color="auto" w:fill="auto"/>
          </w:tcPr>
          <w:p w:rsidR="00532E68" w:rsidRPr="006E1EBA" w:rsidRDefault="00532E68" w:rsidP="00573FD9">
            <w:pPr>
              <w:spacing w:before="40" w:after="120" w:line="220" w:lineRule="exact"/>
              <w:rPr>
                <w:bCs/>
                <w:highlight w:val="yellow"/>
              </w:rPr>
            </w:pPr>
            <w:r w:rsidRPr="006E1EBA">
              <w:rPr>
                <w:bCs/>
              </w:rPr>
              <w:t xml:space="preserve">States </w:t>
            </w:r>
            <w:r>
              <w:rPr>
                <w:bCs/>
              </w:rPr>
              <w:t>p</w:t>
            </w:r>
            <w:r w:rsidRPr="006E1EBA">
              <w:rPr>
                <w:bCs/>
              </w:rPr>
              <w:t>arties to all treat</w:t>
            </w:r>
            <w:r>
              <w:rPr>
                <w:bCs/>
              </w:rPr>
              <w:t>ies</w:t>
            </w:r>
            <w:r w:rsidRPr="006E1EBA">
              <w:rPr>
                <w:bCs/>
              </w:rPr>
              <w:t xml:space="preserve"> by region</w:t>
            </w:r>
          </w:p>
        </w:tc>
        <w:tc>
          <w:tcPr>
            <w:tcW w:w="1379" w:type="dxa"/>
            <w:tcBorders>
              <w:top w:val="single" w:sz="12" w:space="0" w:color="auto"/>
            </w:tcBorders>
            <w:shd w:val="clear" w:color="auto" w:fill="auto"/>
            <w:noWrap/>
          </w:tcPr>
          <w:p w:rsidR="00532E68" w:rsidRPr="006E1EBA" w:rsidRDefault="00532E68" w:rsidP="00573FD9">
            <w:pPr>
              <w:spacing w:before="40" w:after="120" w:line="220" w:lineRule="exact"/>
              <w:rPr>
                <w:bCs/>
              </w:rPr>
            </w:pPr>
            <w:r w:rsidRPr="006E1EBA">
              <w:rPr>
                <w:bCs/>
              </w:rPr>
              <w:t>Working languages</w:t>
            </w:r>
          </w:p>
        </w:tc>
        <w:tc>
          <w:tcPr>
            <w:tcW w:w="3047" w:type="dxa"/>
            <w:tcBorders>
              <w:top w:val="single" w:sz="12" w:space="0" w:color="auto"/>
            </w:tcBorders>
            <w:shd w:val="clear" w:color="auto" w:fill="auto"/>
            <w:noWrap/>
          </w:tcPr>
          <w:p w:rsidR="00532E68" w:rsidRPr="006E1EBA" w:rsidRDefault="00532E68" w:rsidP="00573FD9">
            <w:pPr>
              <w:spacing w:before="40" w:after="120" w:line="220" w:lineRule="exact"/>
              <w:rPr>
                <w:bCs/>
              </w:rPr>
            </w:pPr>
            <w:r w:rsidRPr="006E1EBA">
              <w:rPr>
                <w:bCs/>
              </w:rPr>
              <w:t xml:space="preserve">Current </w:t>
            </w:r>
            <w:r>
              <w:rPr>
                <w:bCs/>
              </w:rPr>
              <w:t>p</w:t>
            </w:r>
            <w:r w:rsidRPr="006E1EBA">
              <w:rPr>
                <w:bCs/>
              </w:rPr>
              <w:t>osition</w:t>
            </w:r>
          </w:p>
        </w:tc>
      </w:tr>
      <w:tr w:rsidR="00532E68" w:rsidRPr="006E1EBA" w:rsidTr="00573FD9">
        <w:trPr>
          <w:trHeight w:val="240"/>
        </w:trPr>
        <w:tc>
          <w:tcPr>
            <w:tcW w:w="1434" w:type="dxa"/>
            <w:shd w:val="clear" w:color="auto" w:fill="auto"/>
          </w:tcPr>
          <w:p w:rsidR="00532E68" w:rsidRPr="006E1EBA" w:rsidRDefault="00532E68" w:rsidP="00573FD9">
            <w:pPr>
              <w:spacing w:before="40" w:after="120" w:line="220" w:lineRule="exact"/>
            </w:pPr>
            <w:r w:rsidRPr="006E1EBA">
              <w:t>Female: 65</w:t>
            </w:r>
          </w:p>
        </w:tc>
        <w:tc>
          <w:tcPr>
            <w:tcW w:w="1692" w:type="dxa"/>
            <w:shd w:val="clear" w:color="auto" w:fill="auto"/>
            <w:noWrap/>
          </w:tcPr>
          <w:p w:rsidR="00532E68" w:rsidRPr="006E1EBA" w:rsidRDefault="00532E68" w:rsidP="00573FD9">
            <w:pPr>
              <w:spacing w:before="40" w:after="120" w:line="220" w:lineRule="exact"/>
            </w:pPr>
            <w:r w:rsidRPr="006E1EBA">
              <w:t>Africa: 4</w:t>
            </w:r>
            <w:r>
              <w:t>3</w:t>
            </w:r>
            <w:r w:rsidRPr="006E1EBA">
              <w:t xml:space="preserve"> (25%)</w:t>
            </w:r>
          </w:p>
        </w:tc>
        <w:tc>
          <w:tcPr>
            <w:tcW w:w="1183" w:type="dxa"/>
            <w:shd w:val="clear" w:color="auto" w:fill="auto"/>
          </w:tcPr>
          <w:p w:rsidR="00532E68" w:rsidRPr="006E1EBA" w:rsidRDefault="00532E68" w:rsidP="00573FD9">
            <w:pPr>
              <w:spacing w:before="40" w:after="120" w:line="220" w:lineRule="exact"/>
            </w:pPr>
            <w:smartTag w:uri="urn:schemas-microsoft-com:office:smarttags" w:element="place">
              <w:r w:rsidRPr="006E1EBA">
                <w:t>Africa</w:t>
              </w:r>
            </w:smartTag>
            <w:r w:rsidRPr="006E1EBA">
              <w:t>: 362 (28%)</w:t>
            </w:r>
          </w:p>
        </w:tc>
        <w:tc>
          <w:tcPr>
            <w:tcW w:w="1379" w:type="dxa"/>
            <w:shd w:val="clear" w:color="auto" w:fill="auto"/>
            <w:noWrap/>
          </w:tcPr>
          <w:p w:rsidR="00532E68" w:rsidRPr="006E1EBA" w:rsidRDefault="00532E68" w:rsidP="00573FD9">
            <w:pPr>
              <w:spacing w:before="40" w:after="120" w:line="220" w:lineRule="exact"/>
            </w:pPr>
            <w:r w:rsidRPr="006E1EBA">
              <w:t>Arabic: 2</w:t>
            </w:r>
            <w:r>
              <w:t>1</w:t>
            </w:r>
          </w:p>
        </w:tc>
        <w:tc>
          <w:tcPr>
            <w:tcW w:w="3047" w:type="dxa"/>
            <w:shd w:val="clear" w:color="auto" w:fill="auto"/>
            <w:noWrap/>
          </w:tcPr>
          <w:p w:rsidR="00532E68" w:rsidRPr="006E1EBA" w:rsidRDefault="00532E68" w:rsidP="00573FD9">
            <w:pPr>
              <w:spacing w:before="40" w:after="120" w:line="220" w:lineRule="exact"/>
            </w:pPr>
            <w:r w:rsidRPr="006E1EBA">
              <w:t xml:space="preserve">Academic: </w:t>
            </w:r>
            <w:r>
              <w:t>51</w:t>
            </w:r>
            <w:r w:rsidRPr="006E1EBA">
              <w:t xml:space="preserve"> (</w:t>
            </w:r>
            <w:r>
              <w:t>30</w:t>
            </w:r>
            <w:r w:rsidRPr="006E1EBA">
              <w:t>%)</w:t>
            </w:r>
          </w:p>
        </w:tc>
      </w:tr>
      <w:tr w:rsidR="00532E68" w:rsidRPr="006E1EBA" w:rsidTr="00573FD9">
        <w:trPr>
          <w:trHeight w:val="240"/>
        </w:trPr>
        <w:tc>
          <w:tcPr>
            <w:tcW w:w="1434" w:type="dxa"/>
            <w:shd w:val="clear" w:color="auto" w:fill="auto"/>
          </w:tcPr>
          <w:p w:rsidR="00532E68" w:rsidRPr="006E1EBA" w:rsidRDefault="00532E68" w:rsidP="00573FD9">
            <w:pPr>
              <w:spacing w:before="40" w:after="120" w:line="220" w:lineRule="exact"/>
              <w:rPr>
                <w:bCs/>
              </w:rPr>
            </w:pPr>
            <w:r w:rsidRPr="006E1EBA">
              <w:t>Male: 10</w:t>
            </w:r>
            <w:r>
              <w:t>7</w:t>
            </w:r>
          </w:p>
        </w:tc>
        <w:tc>
          <w:tcPr>
            <w:tcW w:w="1692" w:type="dxa"/>
            <w:shd w:val="clear" w:color="auto" w:fill="auto"/>
            <w:noWrap/>
          </w:tcPr>
          <w:p w:rsidR="00532E68" w:rsidRPr="006E1EBA" w:rsidRDefault="00532E68" w:rsidP="00573FD9">
            <w:pPr>
              <w:spacing w:before="40" w:after="120" w:line="220" w:lineRule="exact"/>
            </w:pPr>
            <w:smartTag w:uri="urn:schemas-microsoft-com:office:smarttags" w:element="place">
              <w:r w:rsidRPr="006E1EBA">
                <w:t>Asia</w:t>
              </w:r>
            </w:smartTag>
            <w:r w:rsidRPr="006E1EBA">
              <w:t>: 29 (17%)</w:t>
            </w:r>
          </w:p>
        </w:tc>
        <w:tc>
          <w:tcPr>
            <w:tcW w:w="1183" w:type="dxa"/>
            <w:shd w:val="clear" w:color="auto" w:fill="auto"/>
          </w:tcPr>
          <w:p w:rsidR="00532E68" w:rsidRPr="006E1EBA" w:rsidRDefault="00532E68" w:rsidP="00573FD9">
            <w:pPr>
              <w:spacing w:before="40" w:after="120" w:line="220" w:lineRule="exact"/>
            </w:pPr>
            <w:smartTag w:uri="urn:schemas-microsoft-com:office:smarttags" w:element="place">
              <w:r w:rsidRPr="006E1EBA">
                <w:t>Asia</w:t>
              </w:r>
            </w:smartTag>
            <w:r w:rsidRPr="006E1EBA">
              <w:t>: 306 (24%)</w:t>
            </w:r>
          </w:p>
        </w:tc>
        <w:tc>
          <w:tcPr>
            <w:tcW w:w="1379" w:type="dxa"/>
            <w:shd w:val="clear" w:color="auto" w:fill="auto"/>
            <w:noWrap/>
          </w:tcPr>
          <w:p w:rsidR="00532E68" w:rsidRPr="006E1EBA" w:rsidRDefault="00532E68" w:rsidP="00573FD9">
            <w:pPr>
              <w:spacing w:before="40" w:after="120" w:line="220" w:lineRule="exact"/>
            </w:pPr>
            <w:r w:rsidRPr="006E1EBA">
              <w:t>Chinese: 5</w:t>
            </w:r>
          </w:p>
        </w:tc>
        <w:tc>
          <w:tcPr>
            <w:tcW w:w="3047" w:type="dxa"/>
            <w:shd w:val="clear" w:color="auto" w:fill="auto"/>
            <w:noWrap/>
          </w:tcPr>
          <w:p w:rsidR="00532E68" w:rsidRPr="006E1EBA" w:rsidRDefault="00532E68" w:rsidP="00573FD9">
            <w:pPr>
              <w:spacing w:before="40" w:after="120" w:line="220" w:lineRule="exact"/>
            </w:pPr>
            <w:r w:rsidRPr="006E1EBA">
              <w:t>Consultant/Advisor: 19 (11</w:t>
            </w:r>
            <w:r w:rsidRPr="006E1EBA" w:rsidDel="00ED536F">
              <w:t xml:space="preserve"> </w:t>
            </w:r>
            <w:r w:rsidRPr="006E1EBA">
              <w:t>%)</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r w:rsidRPr="006E1EBA">
              <w:t>Eastern Europe: 22 (1</w:t>
            </w:r>
            <w:r>
              <w:t>2</w:t>
            </w:r>
            <w:r w:rsidRPr="006E1EBA">
              <w:t>%)</w:t>
            </w:r>
          </w:p>
        </w:tc>
        <w:tc>
          <w:tcPr>
            <w:tcW w:w="1183" w:type="dxa"/>
            <w:shd w:val="clear" w:color="auto" w:fill="auto"/>
          </w:tcPr>
          <w:p w:rsidR="00532E68" w:rsidRPr="006E1EBA" w:rsidRDefault="00532E68" w:rsidP="00573FD9">
            <w:pPr>
              <w:spacing w:before="40" w:after="120" w:line="220" w:lineRule="exact"/>
            </w:pPr>
            <w:smartTag w:uri="urn:schemas-microsoft-com:office:smarttags" w:element="place">
              <w:r w:rsidRPr="006E1EBA">
                <w:t>Eastern Europe</w:t>
              </w:r>
            </w:smartTag>
            <w:r w:rsidRPr="006E1EBA">
              <w:t>: 171 (13%)</w:t>
            </w:r>
          </w:p>
        </w:tc>
        <w:tc>
          <w:tcPr>
            <w:tcW w:w="1379" w:type="dxa"/>
            <w:shd w:val="clear" w:color="auto" w:fill="auto"/>
            <w:noWrap/>
          </w:tcPr>
          <w:p w:rsidR="00532E68" w:rsidRPr="006E1EBA" w:rsidRDefault="00532E68" w:rsidP="00573FD9">
            <w:pPr>
              <w:spacing w:before="40" w:after="120" w:line="220" w:lineRule="exact"/>
            </w:pPr>
            <w:r w:rsidRPr="006E1EBA">
              <w:t>English: 152</w:t>
            </w:r>
          </w:p>
        </w:tc>
        <w:tc>
          <w:tcPr>
            <w:tcW w:w="3047" w:type="dxa"/>
            <w:shd w:val="clear" w:color="auto" w:fill="auto"/>
            <w:noWrap/>
          </w:tcPr>
          <w:p w:rsidR="00532E68" w:rsidRPr="006E1EBA" w:rsidRDefault="00532E68" w:rsidP="00573FD9">
            <w:pPr>
              <w:spacing w:before="40" w:after="120" w:line="220" w:lineRule="exact"/>
            </w:pPr>
            <w:r w:rsidRPr="006E1EBA">
              <w:t xml:space="preserve">Diplomat/Government </w:t>
            </w:r>
            <w:r>
              <w:t>o</w:t>
            </w:r>
            <w:r w:rsidRPr="006E1EBA">
              <w:t>fficial: 31 (18%)</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r w:rsidRPr="006E1EBA">
              <w:t>GRULAC: 34 (20%)</w:t>
            </w:r>
          </w:p>
        </w:tc>
        <w:tc>
          <w:tcPr>
            <w:tcW w:w="1183" w:type="dxa"/>
            <w:shd w:val="clear" w:color="auto" w:fill="auto"/>
          </w:tcPr>
          <w:p w:rsidR="00532E68" w:rsidRPr="006E1EBA" w:rsidRDefault="00532E68" w:rsidP="00573FD9">
            <w:pPr>
              <w:spacing w:before="40" w:after="120" w:line="220" w:lineRule="exact"/>
            </w:pPr>
            <w:r w:rsidRPr="006E1EBA">
              <w:t>GRULAC: 240 (19%)</w:t>
            </w:r>
          </w:p>
        </w:tc>
        <w:tc>
          <w:tcPr>
            <w:tcW w:w="1379" w:type="dxa"/>
            <w:shd w:val="clear" w:color="auto" w:fill="auto"/>
            <w:noWrap/>
          </w:tcPr>
          <w:p w:rsidR="00532E68" w:rsidRPr="006E1EBA" w:rsidRDefault="00532E68" w:rsidP="00573FD9">
            <w:pPr>
              <w:spacing w:before="40" w:after="120" w:line="220" w:lineRule="exact"/>
            </w:pPr>
            <w:r w:rsidRPr="006E1EBA">
              <w:t>French: 8</w:t>
            </w:r>
            <w:r>
              <w:t>2</w:t>
            </w:r>
          </w:p>
        </w:tc>
        <w:tc>
          <w:tcPr>
            <w:tcW w:w="3047" w:type="dxa"/>
            <w:shd w:val="clear" w:color="auto" w:fill="auto"/>
            <w:noWrap/>
          </w:tcPr>
          <w:p w:rsidR="00532E68" w:rsidRPr="006E1EBA" w:rsidRDefault="00532E68" w:rsidP="00573FD9">
            <w:pPr>
              <w:spacing w:before="40" w:after="120" w:line="220" w:lineRule="exact"/>
            </w:pPr>
            <w:r w:rsidRPr="006E1EBA">
              <w:t>Judge/</w:t>
            </w:r>
            <w:r>
              <w:t>L</w:t>
            </w:r>
            <w:r w:rsidRPr="006E1EBA">
              <w:t>awyer: 25 (1</w:t>
            </w:r>
            <w:r>
              <w:t>4</w:t>
            </w:r>
            <w:r w:rsidRPr="006E1EBA">
              <w:t>%)</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tcPr>
          <w:p w:rsidR="00532E68" w:rsidRPr="006E1EBA" w:rsidRDefault="00532E68" w:rsidP="00573FD9">
            <w:pPr>
              <w:spacing w:before="40" w:after="120" w:line="220" w:lineRule="exact"/>
            </w:pPr>
            <w:r w:rsidRPr="006E1EBA">
              <w:t>WEOG: 44 (26%)</w:t>
            </w:r>
          </w:p>
        </w:tc>
        <w:tc>
          <w:tcPr>
            <w:tcW w:w="1183" w:type="dxa"/>
            <w:shd w:val="clear" w:color="auto" w:fill="auto"/>
          </w:tcPr>
          <w:p w:rsidR="00532E68" w:rsidRPr="006E1EBA" w:rsidRDefault="00532E68" w:rsidP="00573FD9">
            <w:pPr>
              <w:spacing w:before="40" w:after="120" w:line="220" w:lineRule="exact"/>
            </w:pPr>
            <w:r w:rsidRPr="006E1EBA">
              <w:t>WEOG: 202 (16%)</w:t>
            </w:r>
          </w:p>
        </w:tc>
        <w:tc>
          <w:tcPr>
            <w:tcW w:w="1379" w:type="dxa"/>
            <w:shd w:val="clear" w:color="auto" w:fill="auto"/>
            <w:noWrap/>
          </w:tcPr>
          <w:p w:rsidR="00532E68" w:rsidRPr="006E1EBA" w:rsidRDefault="00532E68" w:rsidP="00573FD9">
            <w:pPr>
              <w:spacing w:before="40" w:after="120" w:line="220" w:lineRule="exact"/>
            </w:pPr>
            <w:r w:rsidRPr="006E1EBA">
              <w:t>Russian: 15</w:t>
            </w:r>
          </w:p>
        </w:tc>
        <w:tc>
          <w:tcPr>
            <w:tcW w:w="3047" w:type="dxa"/>
            <w:shd w:val="clear" w:color="auto" w:fill="auto"/>
            <w:noWrap/>
          </w:tcPr>
          <w:p w:rsidR="00532E68" w:rsidRPr="006E1EBA" w:rsidRDefault="00532E68" w:rsidP="00573FD9">
            <w:pPr>
              <w:spacing w:before="40" w:after="120" w:line="220" w:lineRule="exact"/>
            </w:pPr>
            <w:r w:rsidRPr="006E1EBA">
              <w:t>Member of Parliament (MP): 3 (</w:t>
            </w:r>
            <w:r>
              <w:t>2</w:t>
            </w:r>
            <w:r w:rsidRPr="006E1EBA">
              <w:t>%)</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p>
        </w:tc>
        <w:tc>
          <w:tcPr>
            <w:tcW w:w="1183" w:type="dxa"/>
            <w:shd w:val="clear" w:color="auto" w:fill="auto"/>
          </w:tcPr>
          <w:p w:rsidR="00532E68" w:rsidRPr="006E1EBA" w:rsidRDefault="00532E68" w:rsidP="00573FD9">
            <w:pPr>
              <w:spacing w:before="40" w:after="120" w:line="220" w:lineRule="exact"/>
            </w:pPr>
          </w:p>
        </w:tc>
        <w:tc>
          <w:tcPr>
            <w:tcW w:w="1379" w:type="dxa"/>
            <w:shd w:val="clear" w:color="auto" w:fill="auto"/>
            <w:noWrap/>
          </w:tcPr>
          <w:p w:rsidR="00532E68" w:rsidRPr="006E1EBA" w:rsidRDefault="00532E68" w:rsidP="00573FD9">
            <w:pPr>
              <w:spacing w:before="40" w:after="120" w:line="220" w:lineRule="exact"/>
            </w:pPr>
            <w:r w:rsidRPr="006E1EBA">
              <w:t>Spanish: 52</w:t>
            </w:r>
          </w:p>
        </w:tc>
        <w:tc>
          <w:tcPr>
            <w:tcW w:w="3047" w:type="dxa"/>
            <w:shd w:val="clear" w:color="auto" w:fill="auto"/>
            <w:noWrap/>
          </w:tcPr>
          <w:p w:rsidR="00532E68" w:rsidRPr="006E1EBA" w:rsidRDefault="00532E68" w:rsidP="00573FD9">
            <w:pPr>
              <w:spacing w:before="40" w:after="120" w:line="220" w:lineRule="exact"/>
            </w:pPr>
            <w:r w:rsidRPr="006E1EBA">
              <w:t>Non-governmental organization (NGO): 15 (</w:t>
            </w:r>
            <w:r>
              <w:t>9</w:t>
            </w:r>
            <w:r w:rsidRPr="006E1EBA">
              <w:t>%)</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p>
        </w:tc>
        <w:tc>
          <w:tcPr>
            <w:tcW w:w="1183" w:type="dxa"/>
            <w:shd w:val="clear" w:color="auto" w:fill="auto"/>
          </w:tcPr>
          <w:p w:rsidR="00532E68" w:rsidRPr="006E1EBA" w:rsidRDefault="00532E68" w:rsidP="00573FD9">
            <w:pPr>
              <w:spacing w:before="40" w:after="120" w:line="220" w:lineRule="exact"/>
            </w:pPr>
          </w:p>
        </w:tc>
        <w:tc>
          <w:tcPr>
            <w:tcW w:w="1379" w:type="dxa"/>
            <w:shd w:val="clear" w:color="auto" w:fill="auto"/>
            <w:noWrap/>
          </w:tcPr>
          <w:p w:rsidR="00532E68" w:rsidRPr="006E1EBA" w:rsidRDefault="00532E68" w:rsidP="00573FD9">
            <w:pPr>
              <w:spacing w:before="40" w:after="120" w:line="220" w:lineRule="exact"/>
            </w:pPr>
          </w:p>
        </w:tc>
        <w:tc>
          <w:tcPr>
            <w:tcW w:w="3047" w:type="dxa"/>
            <w:shd w:val="clear" w:color="auto" w:fill="auto"/>
            <w:noWrap/>
          </w:tcPr>
          <w:p w:rsidR="00532E68" w:rsidRPr="006E1EBA" w:rsidRDefault="00532E68" w:rsidP="00573FD9">
            <w:pPr>
              <w:spacing w:before="40" w:after="120" w:line="220" w:lineRule="exact"/>
            </w:pPr>
            <w:r w:rsidRPr="006E1EBA">
              <w:t>National Human Rights Institution (NHRI): 13 (7%)</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p>
        </w:tc>
        <w:tc>
          <w:tcPr>
            <w:tcW w:w="1183" w:type="dxa"/>
            <w:shd w:val="clear" w:color="auto" w:fill="auto"/>
          </w:tcPr>
          <w:p w:rsidR="00532E68" w:rsidRPr="006E1EBA" w:rsidRDefault="00532E68" w:rsidP="00573FD9">
            <w:pPr>
              <w:spacing w:before="40" w:after="120" w:line="220" w:lineRule="exact"/>
            </w:pPr>
          </w:p>
        </w:tc>
        <w:tc>
          <w:tcPr>
            <w:tcW w:w="1379" w:type="dxa"/>
            <w:shd w:val="clear" w:color="auto" w:fill="auto"/>
            <w:noWrap/>
          </w:tcPr>
          <w:p w:rsidR="00532E68" w:rsidRPr="006E1EBA" w:rsidRDefault="00532E68" w:rsidP="00573FD9">
            <w:pPr>
              <w:spacing w:before="40" w:after="120" w:line="220" w:lineRule="exact"/>
            </w:pPr>
          </w:p>
        </w:tc>
        <w:tc>
          <w:tcPr>
            <w:tcW w:w="3047" w:type="dxa"/>
            <w:shd w:val="clear" w:color="auto" w:fill="auto"/>
            <w:noWrap/>
          </w:tcPr>
          <w:p w:rsidR="00532E68" w:rsidRPr="006E1EBA" w:rsidRDefault="00532E68" w:rsidP="00573FD9">
            <w:pPr>
              <w:spacing w:before="40" w:after="120" w:line="220" w:lineRule="exact"/>
            </w:pPr>
            <w:r w:rsidRPr="006E1EBA">
              <w:t>Retired U</w:t>
            </w:r>
            <w:r>
              <w:t>nited Nations</w:t>
            </w:r>
            <w:r w:rsidRPr="006E1EBA">
              <w:t xml:space="preserve"> staff: 1 (</w:t>
            </w:r>
            <w:r>
              <w:t>1</w:t>
            </w:r>
            <w:r w:rsidRPr="006E1EBA">
              <w:t>%)</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p>
        </w:tc>
        <w:tc>
          <w:tcPr>
            <w:tcW w:w="1183" w:type="dxa"/>
            <w:shd w:val="clear" w:color="auto" w:fill="auto"/>
          </w:tcPr>
          <w:p w:rsidR="00532E68" w:rsidRPr="006E1EBA" w:rsidRDefault="00532E68" w:rsidP="00573FD9">
            <w:pPr>
              <w:spacing w:before="40" w:after="120" w:line="220" w:lineRule="exact"/>
            </w:pPr>
          </w:p>
        </w:tc>
        <w:tc>
          <w:tcPr>
            <w:tcW w:w="1379" w:type="dxa"/>
            <w:shd w:val="clear" w:color="auto" w:fill="auto"/>
            <w:noWrap/>
          </w:tcPr>
          <w:p w:rsidR="00532E68" w:rsidRPr="006E1EBA" w:rsidRDefault="00532E68" w:rsidP="00573FD9">
            <w:pPr>
              <w:spacing w:before="40" w:after="120" w:line="220" w:lineRule="exact"/>
            </w:pPr>
          </w:p>
        </w:tc>
        <w:tc>
          <w:tcPr>
            <w:tcW w:w="3047" w:type="dxa"/>
            <w:shd w:val="clear" w:color="auto" w:fill="auto"/>
            <w:noWrap/>
          </w:tcPr>
          <w:p w:rsidR="00532E68" w:rsidRPr="006E1EBA" w:rsidRDefault="00532E68" w:rsidP="00573FD9">
            <w:pPr>
              <w:spacing w:before="40" w:after="120" w:line="220" w:lineRule="exact"/>
            </w:pPr>
            <w:r w:rsidRPr="006E1EBA">
              <w:t xml:space="preserve">Retired </w:t>
            </w:r>
            <w:r>
              <w:t>d</w:t>
            </w:r>
            <w:r w:rsidRPr="006E1EBA">
              <w:t xml:space="preserve">iplomat/Government </w:t>
            </w:r>
            <w:r>
              <w:t>o</w:t>
            </w:r>
            <w:r w:rsidRPr="006E1EBA">
              <w:t>fficial: 11 (6%)</w:t>
            </w:r>
          </w:p>
        </w:tc>
      </w:tr>
      <w:tr w:rsidR="00532E68" w:rsidRPr="006E1EBA" w:rsidTr="00573FD9">
        <w:trPr>
          <w:trHeight w:val="240"/>
        </w:trPr>
        <w:tc>
          <w:tcPr>
            <w:tcW w:w="1434" w:type="dxa"/>
            <w:shd w:val="clear" w:color="auto" w:fill="auto"/>
            <w:noWrap/>
          </w:tcPr>
          <w:p w:rsidR="00532E68" w:rsidRPr="006E1EBA" w:rsidRDefault="00532E68" w:rsidP="00573FD9">
            <w:pPr>
              <w:spacing w:before="40" w:after="120" w:line="220" w:lineRule="exact"/>
            </w:pPr>
          </w:p>
        </w:tc>
        <w:tc>
          <w:tcPr>
            <w:tcW w:w="1692" w:type="dxa"/>
            <w:shd w:val="clear" w:color="auto" w:fill="auto"/>
            <w:noWrap/>
          </w:tcPr>
          <w:p w:rsidR="00532E68" w:rsidRPr="006E1EBA" w:rsidRDefault="00532E68" w:rsidP="00573FD9">
            <w:pPr>
              <w:spacing w:before="40" w:after="120" w:line="220" w:lineRule="exact"/>
            </w:pPr>
          </w:p>
        </w:tc>
        <w:tc>
          <w:tcPr>
            <w:tcW w:w="1183" w:type="dxa"/>
            <w:shd w:val="clear" w:color="auto" w:fill="auto"/>
          </w:tcPr>
          <w:p w:rsidR="00532E68" w:rsidRPr="006E1EBA" w:rsidRDefault="00532E68" w:rsidP="00573FD9">
            <w:pPr>
              <w:spacing w:before="40" w:after="120" w:line="220" w:lineRule="exact"/>
            </w:pPr>
          </w:p>
        </w:tc>
        <w:tc>
          <w:tcPr>
            <w:tcW w:w="1379" w:type="dxa"/>
            <w:shd w:val="clear" w:color="auto" w:fill="auto"/>
            <w:noWrap/>
          </w:tcPr>
          <w:p w:rsidR="00532E68" w:rsidRPr="006E1EBA" w:rsidRDefault="00532E68" w:rsidP="00573FD9">
            <w:pPr>
              <w:spacing w:before="40" w:after="120" w:line="220" w:lineRule="exact"/>
            </w:pPr>
          </w:p>
        </w:tc>
        <w:tc>
          <w:tcPr>
            <w:tcW w:w="3047" w:type="dxa"/>
            <w:shd w:val="clear" w:color="auto" w:fill="auto"/>
            <w:noWrap/>
          </w:tcPr>
          <w:p w:rsidR="00532E68" w:rsidRPr="006E1EBA" w:rsidRDefault="00532E68" w:rsidP="00573FD9">
            <w:pPr>
              <w:spacing w:before="40" w:after="120" w:line="220" w:lineRule="exact"/>
            </w:pPr>
            <w:r w:rsidRPr="006E1EBA">
              <w:t xml:space="preserve">Retired </w:t>
            </w:r>
            <w:r>
              <w:t>j</w:t>
            </w:r>
            <w:r w:rsidRPr="006E1EBA">
              <w:t>udge/lawyer: 3 (</w:t>
            </w:r>
            <w:r>
              <w:t>2</w:t>
            </w:r>
            <w:r w:rsidRPr="006E1EBA">
              <w:t>%)</w:t>
            </w:r>
          </w:p>
        </w:tc>
      </w:tr>
    </w:tbl>
    <w:p w:rsidR="00532E68" w:rsidRDefault="00532E68" w:rsidP="00532E68"/>
    <w:p w:rsidR="003E1FA7" w:rsidRDefault="003E1FA7" w:rsidP="003E1FA7">
      <w:pPr>
        <w:pStyle w:val="ListParagraph"/>
        <w:tabs>
          <w:tab w:val="left" w:pos="0"/>
          <w:tab w:val="left" w:pos="426"/>
        </w:tabs>
        <w:ind w:left="0"/>
        <w:jc w:val="both"/>
      </w:pPr>
    </w:p>
    <w:p w:rsidR="003E1FA7" w:rsidRDefault="00387632" w:rsidP="001566B4">
      <w:pPr>
        <w:pStyle w:val="ListParagraph"/>
        <w:numPr>
          <w:ilvl w:val="0"/>
          <w:numId w:val="5"/>
        </w:numPr>
        <w:tabs>
          <w:tab w:val="left" w:pos="0"/>
          <w:tab w:val="left" w:pos="567"/>
        </w:tabs>
        <w:ind w:left="0" w:firstLine="0"/>
        <w:jc w:val="both"/>
      </w:pPr>
      <w:r>
        <w:t>Ms Dah expressed the view that</w:t>
      </w:r>
      <w:r w:rsidR="00104F2C">
        <w:t>,</w:t>
      </w:r>
      <w:r>
        <w:t xml:space="preserve"> </w:t>
      </w:r>
      <w:r w:rsidR="00104F2C">
        <w:t>while</w:t>
      </w:r>
      <w:r>
        <w:t xml:space="preserve"> the trend </w:t>
      </w:r>
      <w:r w:rsidR="00104F2C">
        <w:t>is</w:t>
      </w:r>
      <w:r>
        <w:t xml:space="preserve"> now to work in one language</w:t>
      </w:r>
      <w:r w:rsidR="00104F2C">
        <w:t>,</w:t>
      </w:r>
      <w:r>
        <w:t xml:space="preserve"> committees should function with at least two working languages. She underscored the dire n</w:t>
      </w:r>
      <w:r w:rsidR="00BB719F">
        <w:t>eed for State</w:t>
      </w:r>
      <w:r w:rsidR="00D40377">
        <w:t>s</w:t>
      </w:r>
      <w:r>
        <w:t xml:space="preserve"> parties to increase the participation of women in treaty bodies which she believes</w:t>
      </w:r>
      <w:r w:rsidR="00104F2C">
        <w:t xml:space="preserve"> would bring more balance in the</w:t>
      </w:r>
      <w:r>
        <w:t xml:space="preserve"> views </w:t>
      </w:r>
      <w:r w:rsidR="00104F2C">
        <w:t xml:space="preserve">expressed </w:t>
      </w:r>
      <w:r>
        <w:t>and recommendations</w:t>
      </w:r>
      <w:r w:rsidR="00104F2C">
        <w:t xml:space="preserve"> adopted</w:t>
      </w:r>
      <w:r>
        <w:t>. Referring to the independence of members, Ms Dah reaffirmed t</w:t>
      </w:r>
      <w:r w:rsidR="0026059B">
        <w:t xml:space="preserve">he existence of </w:t>
      </w:r>
      <w:r>
        <w:t xml:space="preserve">rules of procedure within </w:t>
      </w:r>
      <w:r w:rsidR="0026059B">
        <w:t>each treaty body regulating the behaviour of experts when their countries are under examination, either in the case a State party’s report or an individual communication</w:t>
      </w:r>
      <w:r>
        <w:t xml:space="preserve">. In her view, independence depends entirely on </w:t>
      </w:r>
      <w:r w:rsidR="00050436">
        <w:t>each</w:t>
      </w:r>
      <w:r>
        <w:t xml:space="preserve"> expert who should be independent </w:t>
      </w:r>
      <w:r w:rsidR="0026059B">
        <w:t xml:space="preserve">not only from </w:t>
      </w:r>
      <w:r>
        <w:t xml:space="preserve">his government, </w:t>
      </w:r>
      <w:r w:rsidR="0026059B">
        <w:t xml:space="preserve">but also from </w:t>
      </w:r>
      <w:r>
        <w:t>other governments, civil society organizations and OHCHR.</w:t>
      </w:r>
      <w:r w:rsidR="0026059B">
        <w:t xml:space="preserve"> She referred to the guidelines on independence and impartiality currently prepared by the Chairpersons</w:t>
      </w:r>
      <w:r w:rsidR="00050436">
        <w:t>,</w:t>
      </w:r>
      <w:r w:rsidR="0026059B">
        <w:t xml:space="preserve"> which would also regulate conflict of interest. Ms Dah empha</w:t>
      </w:r>
      <w:r w:rsidR="00050436">
        <w:t>sised that neither the treaty bodies nor</w:t>
      </w:r>
      <w:r w:rsidR="0026059B">
        <w:t xml:space="preserve"> the OHCHR should elaborate</w:t>
      </w:r>
      <w:r w:rsidR="00050436">
        <w:t xml:space="preserve"> guidelines on eligibility which is for States to develop.</w:t>
      </w:r>
    </w:p>
    <w:p w:rsidR="008D7ABA" w:rsidRDefault="008D7ABA" w:rsidP="008D7ABA">
      <w:pPr>
        <w:pStyle w:val="ListParagraph"/>
        <w:tabs>
          <w:tab w:val="left" w:pos="0"/>
          <w:tab w:val="left" w:pos="567"/>
        </w:tabs>
        <w:ind w:left="0"/>
        <w:jc w:val="both"/>
      </w:pPr>
    </w:p>
    <w:p w:rsidR="008D7ABA" w:rsidRDefault="008D7ABA" w:rsidP="008D7ABA">
      <w:pPr>
        <w:pStyle w:val="ListParagraph"/>
        <w:numPr>
          <w:ilvl w:val="0"/>
          <w:numId w:val="5"/>
        </w:numPr>
        <w:tabs>
          <w:tab w:val="left" w:pos="0"/>
          <w:tab w:val="left" w:pos="567"/>
        </w:tabs>
        <w:ind w:left="0" w:firstLine="1"/>
        <w:jc w:val="both"/>
      </w:pPr>
      <w:r w:rsidRPr="008D7ABA">
        <w:t>Mr Claudio Grossman (CAT) expressed the view that it is a well-known fact that experts with backgrounds as lawyers or prior memberships in civil society are insufficiently represented in Treaty Bodies. He believed that respect for the independence of members is always relevant for the performance of the experts’ duties (examination of reports, communications, working methods) and this independence is key for the treaty bodies’ legitimacy and their ability to comply with their obligations. Mr Grossman stated that treaty body legitimacy had resulted in legislative changes, ratification of treaties, formulation of public policies, and compliance with decisions. In his view the treaty body strengthening process should reflect on how to develop compliance even further. Mr Grossman supported the idea of adopting good practices on the nomination process. He added that gender balance and equitable geographic representation are important elements in the membership of treaty bodies which contribute to enhancing their legitimacy.</w:t>
      </w:r>
    </w:p>
    <w:p w:rsidR="00FA1FDB" w:rsidRDefault="00FA1FDB" w:rsidP="005666A8">
      <w:pPr>
        <w:rPr>
          <w:rFonts w:cs="Calibri"/>
          <w:b/>
          <w:u w:val="single"/>
        </w:rPr>
      </w:pPr>
    </w:p>
    <w:p w:rsidR="005666A8" w:rsidRPr="00427E9C" w:rsidRDefault="005666A8" w:rsidP="005666A8">
      <w:pPr>
        <w:rPr>
          <w:rFonts w:cs="Calibri"/>
          <w:b/>
          <w:u w:val="single"/>
        </w:rPr>
      </w:pPr>
      <w:r w:rsidRPr="00427E9C">
        <w:rPr>
          <w:rFonts w:cs="Calibri"/>
          <w:b/>
          <w:u w:val="single"/>
        </w:rPr>
        <w:t>Strengthening the preparation of States parties’ reports and the dialogue between States parties and the treaty bodies</w:t>
      </w:r>
    </w:p>
    <w:p w:rsidR="005666A8" w:rsidRPr="00427E9C" w:rsidRDefault="005666A8" w:rsidP="005666A8">
      <w:pPr>
        <w:pStyle w:val="ListParagraph"/>
        <w:tabs>
          <w:tab w:val="left" w:pos="567"/>
        </w:tabs>
        <w:ind w:left="11"/>
        <w:jc w:val="both"/>
        <w:rPr>
          <w:rFonts w:cs="Calibri"/>
        </w:rPr>
      </w:pPr>
    </w:p>
    <w:p w:rsidR="00B53AE4" w:rsidRDefault="005666A8" w:rsidP="00B53AE4">
      <w:pPr>
        <w:pStyle w:val="ListParagraph"/>
        <w:numPr>
          <w:ilvl w:val="0"/>
          <w:numId w:val="5"/>
        </w:numPr>
        <w:tabs>
          <w:tab w:val="left" w:pos="567"/>
        </w:tabs>
        <w:ind w:left="0" w:firstLine="0"/>
        <w:jc w:val="both"/>
        <w:rPr>
          <w:rFonts w:cs="Calibri"/>
          <w:lang w:eastAsia="en-US"/>
        </w:rPr>
      </w:pPr>
      <w:r w:rsidRPr="00B53AE4">
        <w:rPr>
          <w:rFonts w:cs="Calibri"/>
        </w:rPr>
        <w:t>The segment on strengthening the preparation of States parties’ reports and the dialogue between States parties and the treaty bodies was opened by Mr Paul R. Seger, Permanent Repres</w:t>
      </w:r>
      <w:r w:rsidR="00B53AE4" w:rsidRPr="00B53AE4">
        <w:rPr>
          <w:rFonts w:cs="Calibri"/>
        </w:rPr>
        <w:t xml:space="preserve">entative of Switzerland to the </w:t>
      </w:r>
      <w:r w:rsidRPr="00B53AE4">
        <w:rPr>
          <w:rFonts w:cs="Calibri"/>
        </w:rPr>
        <w:t>United Nations</w:t>
      </w:r>
      <w:r w:rsidR="00B53AE4" w:rsidRPr="00B53AE4">
        <w:rPr>
          <w:rFonts w:cs="Calibri"/>
        </w:rPr>
        <w:t xml:space="preserve"> who </w:t>
      </w:r>
      <w:r w:rsidRPr="005C586F">
        <w:rPr>
          <w:rFonts w:cs="Calibri"/>
        </w:rPr>
        <w:t xml:space="preserve">acted as moderator. </w:t>
      </w:r>
      <w:r w:rsidR="00430539">
        <w:rPr>
          <w:rFonts w:cs="Calibri"/>
          <w:lang w:eastAsia="en-US"/>
        </w:rPr>
        <w:t>Ms</w:t>
      </w:r>
      <w:r w:rsidR="00B53AE4" w:rsidRPr="00B53AE4">
        <w:rPr>
          <w:rFonts w:cs="Calibri"/>
          <w:lang w:eastAsia="en-US"/>
        </w:rPr>
        <w:t xml:space="preserve"> Barbara Bailey (</w:t>
      </w:r>
      <w:r w:rsidR="00B53AE4">
        <w:rPr>
          <w:rFonts w:cs="Calibri"/>
          <w:lang w:eastAsia="en-US"/>
        </w:rPr>
        <w:t>Committee on the Elimination of Discrimination against Women</w:t>
      </w:r>
      <w:r w:rsidR="00D62732">
        <w:rPr>
          <w:rFonts w:cs="Calibri"/>
          <w:lang w:eastAsia="en-US"/>
        </w:rPr>
        <w:t>), Ms</w:t>
      </w:r>
      <w:r w:rsidR="00B53AE4" w:rsidRPr="00B53AE4">
        <w:rPr>
          <w:rFonts w:cs="Calibri"/>
          <w:lang w:eastAsia="en-US"/>
        </w:rPr>
        <w:t xml:space="preserve"> Felice Gaer (</w:t>
      </w:r>
      <w:r w:rsidR="00B53AE4">
        <w:rPr>
          <w:rFonts w:cs="Calibri"/>
          <w:lang w:eastAsia="en-US"/>
        </w:rPr>
        <w:t>Committee against Torture</w:t>
      </w:r>
      <w:r w:rsidR="00B53AE4" w:rsidRPr="00B53AE4">
        <w:rPr>
          <w:rFonts w:cs="Calibri"/>
          <w:lang w:eastAsia="en-US"/>
        </w:rPr>
        <w:t>),</w:t>
      </w:r>
      <w:r w:rsidR="00B53AE4">
        <w:rPr>
          <w:rFonts w:cs="Calibri"/>
          <w:lang w:eastAsia="en-US"/>
        </w:rPr>
        <w:t xml:space="preserve"> </w:t>
      </w:r>
      <w:r w:rsidR="005F6815">
        <w:rPr>
          <w:rFonts w:cs="Calibri"/>
          <w:lang w:eastAsia="en-US"/>
        </w:rPr>
        <w:t>Sir</w:t>
      </w:r>
      <w:r w:rsidR="005F6815" w:rsidRPr="00B53AE4">
        <w:rPr>
          <w:rFonts w:cs="Calibri"/>
          <w:lang w:eastAsia="en-US"/>
        </w:rPr>
        <w:t xml:space="preserve"> </w:t>
      </w:r>
      <w:r w:rsidR="00B53AE4" w:rsidRPr="00B53AE4">
        <w:rPr>
          <w:rFonts w:cs="Calibri"/>
          <w:lang w:eastAsia="en-US"/>
        </w:rPr>
        <w:t>Nigel Rodley (</w:t>
      </w:r>
      <w:r w:rsidR="00B53AE4">
        <w:rPr>
          <w:rFonts w:cs="Calibri"/>
          <w:lang w:eastAsia="en-US"/>
        </w:rPr>
        <w:t>Human Rights</w:t>
      </w:r>
      <w:r w:rsidR="00B53AE4" w:rsidRPr="00B53AE4">
        <w:rPr>
          <w:rFonts w:cs="Calibri"/>
          <w:lang w:eastAsia="en-US"/>
        </w:rPr>
        <w:t xml:space="preserve"> Committee),</w:t>
      </w:r>
      <w:r w:rsidR="00384E7D">
        <w:rPr>
          <w:rFonts w:cs="Calibri"/>
          <w:lang w:eastAsia="en-US"/>
        </w:rPr>
        <w:t xml:space="preserve">  </w:t>
      </w:r>
      <w:r w:rsidR="00CB3A5A">
        <w:rPr>
          <w:rFonts w:cs="Calibri"/>
          <w:lang w:eastAsia="en-US"/>
        </w:rPr>
        <w:t xml:space="preserve">and </w:t>
      </w:r>
      <w:r w:rsidR="00B53AE4">
        <w:rPr>
          <w:rFonts w:cs="Calibri"/>
          <w:lang w:eastAsia="en-US"/>
        </w:rPr>
        <w:t>Mr</w:t>
      </w:r>
      <w:r w:rsidR="00B53AE4" w:rsidRPr="00B53AE4">
        <w:rPr>
          <w:rFonts w:cs="Calibri"/>
          <w:lang w:eastAsia="en-US"/>
        </w:rPr>
        <w:t xml:space="preserve"> Claudio Grossman (</w:t>
      </w:r>
      <w:r w:rsidR="00B53AE4">
        <w:rPr>
          <w:rFonts w:cs="Calibri"/>
          <w:lang w:eastAsia="en-US"/>
        </w:rPr>
        <w:t>Committee against Torture</w:t>
      </w:r>
      <w:r w:rsidR="00B53AE4" w:rsidRPr="00B53AE4">
        <w:rPr>
          <w:rFonts w:cs="Calibri"/>
          <w:lang w:eastAsia="en-US"/>
        </w:rPr>
        <w:t>)</w:t>
      </w:r>
      <w:r w:rsidR="00CB3A5A">
        <w:rPr>
          <w:rFonts w:cs="Calibri"/>
          <w:lang w:eastAsia="en-US"/>
        </w:rPr>
        <w:t xml:space="preserve"> acted as resource persons.</w:t>
      </w:r>
    </w:p>
    <w:p w:rsidR="00CB3A5A" w:rsidRDefault="00CB3A5A" w:rsidP="005C586F">
      <w:pPr>
        <w:pStyle w:val="ListParagraph"/>
        <w:tabs>
          <w:tab w:val="left" w:pos="567"/>
        </w:tabs>
        <w:ind w:left="0"/>
        <w:jc w:val="both"/>
        <w:rPr>
          <w:rFonts w:cs="Calibri"/>
          <w:lang w:eastAsia="en-US"/>
        </w:rPr>
      </w:pPr>
    </w:p>
    <w:p w:rsidR="00797CCE" w:rsidRPr="005C586F" w:rsidRDefault="00797CCE" w:rsidP="005C586F">
      <w:pPr>
        <w:pStyle w:val="ListParagraph"/>
        <w:tabs>
          <w:tab w:val="left" w:pos="567"/>
        </w:tabs>
        <w:ind w:left="0"/>
        <w:jc w:val="both"/>
        <w:rPr>
          <w:rFonts w:cs="Calibri"/>
          <w:b/>
          <w:lang w:eastAsia="en-US"/>
        </w:rPr>
      </w:pPr>
      <w:r w:rsidRPr="00573FD9">
        <w:rPr>
          <w:rFonts w:cs="Calibri"/>
          <w:b/>
          <w:lang w:eastAsia="en-US"/>
        </w:rPr>
        <w:t>Reporting</w:t>
      </w:r>
    </w:p>
    <w:p w:rsidR="00797CCE" w:rsidRDefault="00797CCE" w:rsidP="005C586F">
      <w:pPr>
        <w:pStyle w:val="ListParagraph"/>
        <w:tabs>
          <w:tab w:val="left" w:pos="567"/>
        </w:tabs>
        <w:ind w:left="0"/>
        <w:jc w:val="both"/>
        <w:rPr>
          <w:rFonts w:cs="Calibri"/>
          <w:lang w:eastAsia="en-US"/>
        </w:rPr>
      </w:pPr>
    </w:p>
    <w:p w:rsidR="005E73E1" w:rsidRDefault="00DF1ECA" w:rsidP="005C586F">
      <w:pPr>
        <w:pStyle w:val="ListParagraph"/>
        <w:numPr>
          <w:ilvl w:val="0"/>
          <w:numId w:val="5"/>
        </w:numPr>
        <w:tabs>
          <w:tab w:val="left" w:pos="567"/>
        </w:tabs>
        <w:ind w:left="0" w:firstLine="0"/>
        <w:jc w:val="both"/>
        <w:rPr>
          <w:rFonts w:cs="Calibri"/>
          <w:lang w:eastAsia="en-US"/>
        </w:rPr>
      </w:pPr>
      <w:r w:rsidRPr="005C586F">
        <w:rPr>
          <w:rFonts w:cs="Calibri"/>
          <w:lang w:eastAsia="en-US"/>
        </w:rPr>
        <w:t>Many States welcomed the efforts undertaken by treaty bodies to harmonize their methods of work and find creative solutions to facilitate the preparation of States parties’ reports. In this regard, many support</w:t>
      </w:r>
      <w:r w:rsidR="005E73E1" w:rsidRPr="005C586F">
        <w:rPr>
          <w:rFonts w:cs="Calibri"/>
          <w:lang w:eastAsia="en-US"/>
        </w:rPr>
        <w:t>ed</w:t>
      </w:r>
      <w:r w:rsidRPr="005C586F">
        <w:rPr>
          <w:rFonts w:cs="Calibri"/>
          <w:lang w:eastAsia="en-US"/>
        </w:rPr>
        <w:t xml:space="preserve"> the </w:t>
      </w:r>
      <w:r w:rsidR="00C832AA">
        <w:rPr>
          <w:rFonts w:cs="Calibri"/>
          <w:lang w:eastAsia="en-US"/>
        </w:rPr>
        <w:t xml:space="preserve">optional procedure of </w:t>
      </w:r>
      <w:r w:rsidRPr="005C586F">
        <w:rPr>
          <w:rFonts w:cs="Calibri"/>
          <w:lang w:eastAsia="en-US"/>
        </w:rPr>
        <w:t>list of issue</w:t>
      </w:r>
      <w:r w:rsidR="005E73E1" w:rsidRPr="005C586F">
        <w:rPr>
          <w:rFonts w:cs="Calibri"/>
          <w:lang w:eastAsia="en-US"/>
        </w:rPr>
        <w:t xml:space="preserve">s prior to reporting (LOIPR) which in their view </w:t>
      </w:r>
      <w:r w:rsidR="009B254F">
        <w:rPr>
          <w:rFonts w:cs="Calibri"/>
          <w:lang w:eastAsia="en-US"/>
        </w:rPr>
        <w:t xml:space="preserve">accelerates the drafting process, </w:t>
      </w:r>
      <w:r w:rsidR="009B254F" w:rsidRPr="005C586F">
        <w:rPr>
          <w:rFonts w:cs="Calibri"/>
          <w:lang w:eastAsia="en-US"/>
        </w:rPr>
        <w:t>allow</w:t>
      </w:r>
      <w:r w:rsidR="009B254F">
        <w:rPr>
          <w:rFonts w:cs="Calibri"/>
          <w:lang w:eastAsia="en-US"/>
        </w:rPr>
        <w:t>s</w:t>
      </w:r>
      <w:r w:rsidR="005E73E1" w:rsidRPr="005C586F">
        <w:rPr>
          <w:rFonts w:cs="Calibri"/>
          <w:lang w:eastAsia="en-US"/>
        </w:rPr>
        <w:t xml:space="preserve"> for </w:t>
      </w:r>
      <w:r w:rsidR="001E1CAC" w:rsidRPr="005C586F">
        <w:rPr>
          <w:rFonts w:cs="Calibri"/>
          <w:lang w:eastAsia="en-US"/>
        </w:rPr>
        <w:t>more focused reports</w:t>
      </w:r>
      <w:r w:rsidR="0017355F">
        <w:rPr>
          <w:rFonts w:cs="Calibri"/>
          <w:lang w:eastAsia="en-US"/>
        </w:rPr>
        <w:t xml:space="preserve"> </w:t>
      </w:r>
      <w:r w:rsidR="001E1CAC" w:rsidRPr="005C586F">
        <w:rPr>
          <w:rFonts w:cs="Calibri"/>
          <w:lang w:eastAsia="en-US"/>
        </w:rPr>
        <w:t>and a more structured dialogue</w:t>
      </w:r>
      <w:r w:rsidR="009B254F">
        <w:rPr>
          <w:rFonts w:cs="Calibri"/>
          <w:lang w:eastAsia="en-US"/>
        </w:rPr>
        <w:t xml:space="preserve"> resulting in more focused concluding observations</w:t>
      </w:r>
      <w:r w:rsidR="005E73E1" w:rsidRPr="005C586F">
        <w:rPr>
          <w:rFonts w:cs="Calibri"/>
          <w:lang w:eastAsia="en-US"/>
        </w:rPr>
        <w:t xml:space="preserve">. </w:t>
      </w:r>
      <w:r w:rsidR="00046F28">
        <w:rPr>
          <w:rFonts w:cs="Calibri"/>
          <w:lang w:eastAsia="en-US"/>
        </w:rPr>
        <w:t>In the view of some States, LOIPR should not apply to initial reports, while others underscored that the agreement of the State concerned should be obtained before the list is prepared.</w:t>
      </w:r>
      <w:r w:rsidR="005E73E1" w:rsidRPr="005C586F">
        <w:rPr>
          <w:rFonts w:cs="Calibri"/>
          <w:lang w:eastAsia="en-US"/>
        </w:rPr>
        <w:t xml:space="preserve"> </w:t>
      </w:r>
      <w:r w:rsidR="001E1CAC" w:rsidRPr="005C586F">
        <w:rPr>
          <w:rFonts w:cs="Calibri"/>
          <w:lang w:eastAsia="en-US"/>
        </w:rPr>
        <w:t xml:space="preserve">A suggestion was made </w:t>
      </w:r>
      <w:r w:rsidR="00C832AA">
        <w:rPr>
          <w:rFonts w:cs="Calibri"/>
          <w:lang w:eastAsia="en-US"/>
        </w:rPr>
        <w:t>whereby</w:t>
      </w:r>
      <w:r w:rsidR="001E1CAC" w:rsidRPr="005C586F">
        <w:rPr>
          <w:rFonts w:cs="Calibri"/>
          <w:lang w:eastAsia="en-US"/>
        </w:rPr>
        <w:t xml:space="preserve"> the LOIPR should be co</w:t>
      </w:r>
      <w:r w:rsidR="00201353" w:rsidRPr="005C586F">
        <w:rPr>
          <w:rFonts w:cs="Calibri"/>
          <w:lang w:eastAsia="en-US"/>
        </w:rPr>
        <w:t xml:space="preserve">mbined with page </w:t>
      </w:r>
      <w:r w:rsidR="0017355F" w:rsidRPr="005C586F">
        <w:rPr>
          <w:rFonts w:cs="Calibri"/>
          <w:lang w:eastAsia="en-US"/>
        </w:rPr>
        <w:t>limitations as</w:t>
      </w:r>
      <w:r w:rsidR="00201353" w:rsidRPr="005C586F">
        <w:rPr>
          <w:rFonts w:cs="Calibri"/>
          <w:lang w:eastAsia="en-US"/>
        </w:rPr>
        <w:t xml:space="preserve"> a cost saving measure</w:t>
      </w:r>
      <w:r w:rsidR="00384E7D">
        <w:rPr>
          <w:rFonts w:cs="Calibri"/>
          <w:lang w:eastAsia="en-US"/>
        </w:rPr>
        <w:t xml:space="preserve"> and</w:t>
      </w:r>
      <w:r w:rsidR="00AF259F">
        <w:rPr>
          <w:rFonts w:cs="Calibri"/>
          <w:lang w:eastAsia="en-US"/>
        </w:rPr>
        <w:t xml:space="preserve"> that there should be a limit to the number of questions in the LOIPR if States are expected to produce focused report</w:t>
      </w:r>
      <w:r w:rsidR="00384E7D">
        <w:rPr>
          <w:rFonts w:cs="Calibri"/>
          <w:lang w:eastAsia="en-US"/>
        </w:rPr>
        <w:t>s</w:t>
      </w:r>
      <w:r w:rsidR="00AF259F">
        <w:rPr>
          <w:rFonts w:cs="Calibri"/>
          <w:lang w:eastAsia="en-US"/>
        </w:rPr>
        <w:t xml:space="preserve"> and respect page limitations. </w:t>
      </w:r>
      <w:r w:rsidR="005E73E1" w:rsidRPr="005C586F">
        <w:rPr>
          <w:rFonts w:cs="Calibri"/>
          <w:lang w:eastAsia="en-US"/>
        </w:rPr>
        <w:t xml:space="preserve">Some States </w:t>
      </w:r>
      <w:r w:rsidR="00132510" w:rsidRPr="005C586F">
        <w:rPr>
          <w:rFonts w:cs="Calibri"/>
          <w:lang w:eastAsia="en-US"/>
        </w:rPr>
        <w:t>suggested that</w:t>
      </w:r>
      <w:r w:rsidR="005E73E1" w:rsidRPr="005C586F">
        <w:rPr>
          <w:rFonts w:cs="Calibri"/>
          <w:lang w:eastAsia="en-US"/>
        </w:rPr>
        <w:t xml:space="preserve"> </w:t>
      </w:r>
      <w:r w:rsidR="00132510" w:rsidRPr="005C586F">
        <w:rPr>
          <w:rFonts w:cs="Calibri"/>
          <w:lang w:eastAsia="en-US"/>
        </w:rPr>
        <w:t>an assessment</w:t>
      </w:r>
      <w:r w:rsidR="005E73E1" w:rsidRPr="005C586F">
        <w:rPr>
          <w:rFonts w:cs="Calibri"/>
          <w:lang w:eastAsia="en-US"/>
        </w:rPr>
        <w:t xml:space="preserve"> of the procedure </w:t>
      </w:r>
      <w:r w:rsidR="00132510" w:rsidRPr="005C586F">
        <w:rPr>
          <w:rFonts w:cs="Calibri"/>
          <w:lang w:eastAsia="en-US"/>
        </w:rPr>
        <w:t>be undertaken and</w:t>
      </w:r>
      <w:r w:rsidR="005E73E1" w:rsidRPr="005C586F">
        <w:rPr>
          <w:rFonts w:cs="Calibri"/>
          <w:lang w:eastAsia="en-US"/>
        </w:rPr>
        <w:t xml:space="preserve"> expressed </w:t>
      </w:r>
      <w:r w:rsidR="00132510" w:rsidRPr="005C586F">
        <w:rPr>
          <w:rFonts w:cs="Calibri"/>
          <w:lang w:eastAsia="en-US"/>
        </w:rPr>
        <w:t xml:space="preserve">the hope </w:t>
      </w:r>
      <w:r w:rsidR="005E73E1" w:rsidRPr="005C586F">
        <w:rPr>
          <w:rFonts w:cs="Calibri"/>
          <w:lang w:eastAsia="en-US"/>
        </w:rPr>
        <w:t xml:space="preserve">that this optional procedure would be adopted by more treaty bodies in the future. </w:t>
      </w:r>
      <w:r w:rsidR="00B531E3">
        <w:rPr>
          <w:rFonts w:cs="Calibri"/>
          <w:lang w:eastAsia="en-US"/>
        </w:rPr>
        <w:t>In the view of some States however, the LOIPR did not seem to be compatible with the provisions of the treaties establishing the State reporting obligations.</w:t>
      </w:r>
      <w:r w:rsidR="006F7C69" w:rsidDel="006F7C69">
        <w:rPr>
          <w:rStyle w:val="FootnoteReference"/>
          <w:lang w:eastAsia="en-US"/>
        </w:rPr>
        <w:t xml:space="preserve"> </w:t>
      </w:r>
      <w:r w:rsidR="007A3BFA">
        <w:rPr>
          <w:rFonts w:cs="Calibri"/>
          <w:lang w:eastAsia="en-US"/>
        </w:rPr>
        <w:t>Others emphasized that questions should be limited to the scope of the treaty.</w:t>
      </w:r>
    </w:p>
    <w:p w:rsidR="00201353" w:rsidRDefault="00201353" w:rsidP="005C586F">
      <w:pPr>
        <w:pStyle w:val="ListParagraph"/>
        <w:tabs>
          <w:tab w:val="left" w:pos="567"/>
        </w:tabs>
        <w:ind w:left="0"/>
        <w:jc w:val="both"/>
        <w:rPr>
          <w:rFonts w:cs="Calibri"/>
          <w:lang w:eastAsia="en-US"/>
        </w:rPr>
      </w:pPr>
    </w:p>
    <w:p w:rsidR="000F63DC" w:rsidRDefault="00C832AA" w:rsidP="005C586F">
      <w:pPr>
        <w:pStyle w:val="ListParagraph"/>
        <w:numPr>
          <w:ilvl w:val="0"/>
          <w:numId w:val="5"/>
        </w:numPr>
        <w:tabs>
          <w:tab w:val="left" w:pos="567"/>
        </w:tabs>
        <w:ind w:left="0" w:firstLine="0"/>
        <w:jc w:val="both"/>
        <w:rPr>
          <w:rFonts w:cs="Calibri"/>
          <w:lang w:eastAsia="en-US"/>
        </w:rPr>
      </w:pPr>
      <w:r>
        <w:rPr>
          <w:rFonts w:cs="Calibri"/>
          <w:lang w:eastAsia="en-US"/>
        </w:rPr>
        <w:t xml:space="preserve">Some States were of the view that a regular update of the Common Core Document </w:t>
      </w:r>
      <w:r w:rsidR="00AF259F">
        <w:rPr>
          <w:rFonts w:cs="Calibri"/>
          <w:lang w:eastAsia="en-US"/>
        </w:rPr>
        <w:t xml:space="preserve">(CCD) </w:t>
      </w:r>
      <w:r>
        <w:rPr>
          <w:rFonts w:cs="Calibri"/>
          <w:lang w:eastAsia="en-US"/>
        </w:rPr>
        <w:t>would prevent lengthy reports</w:t>
      </w:r>
      <w:r w:rsidR="006F7C69">
        <w:rPr>
          <w:rFonts w:cs="Calibri"/>
          <w:lang w:eastAsia="en-US"/>
        </w:rPr>
        <w:t xml:space="preserve"> </w:t>
      </w:r>
      <w:r w:rsidR="00AF259F">
        <w:rPr>
          <w:rFonts w:cs="Calibri"/>
          <w:lang w:eastAsia="en-US"/>
        </w:rPr>
        <w:t>and should be encouraged. The value of the CCD was emphasized particularly in the context of the LOIPR, as it would allow for complementary information to the focused report.</w:t>
      </w:r>
      <w:r w:rsidR="000F63DC">
        <w:rPr>
          <w:rFonts w:cs="Calibri"/>
          <w:lang w:eastAsia="en-US"/>
        </w:rPr>
        <w:t xml:space="preserve"> Questions were asked however regarding the frequency by which the CCD should be updated.</w:t>
      </w:r>
    </w:p>
    <w:p w:rsidR="000F63DC" w:rsidRDefault="000F63DC" w:rsidP="005C586F">
      <w:pPr>
        <w:pStyle w:val="ListParagraph"/>
        <w:tabs>
          <w:tab w:val="left" w:pos="567"/>
        </w:tabs>
        <w:ind w:left="0"/>
        <w:jc w:val="both"/>
        <w:rPr>
          <w:rFonts w:cs="Calibri"/>
          <w:lang w:eastAsia="en-US"/>
        </w:rPr>
      </w:pPr>
    </w:p>
    <w:p w:rsidR="00756AFB" w:rsidRPr="005C586F" w:rsidRDefault="00756AFB" w:rsidP="005C586F">
      <w:pPr>
        <w:pStyle w:val="ListParagraph"/>
        <w:numPr>
          <w:ilvl w:val="0"/>
          <w:numId w:val="5"/>
        </w:numPr>
        <w:tabs>
          <w:tab w:val="left" w:pos="567"/>
        </w:tabs>
        <w:ind w:left="0" w:firstLine="0"/>
        <w:jc w:val="both"/>
        <w:rPr>
          <w:rFonts w:cs="Calibri"/>
          <w:lang w:eastAsia="en-US"/>
        </w:rPr>
      </w:pPr>
      <w:r w:rsidRPr="005C586F">
        <w:rPr>
          <w:rFonts w:cs="Calibri"/>
          <w:lang w:eastAsia="en-US"/>
        </w:rPr>
        <w:t xml:space="preserve">Some States expressed support for a </w:t>
      </w:r>
      <w:r>
        <w:t xml:space="preserve">predictable reporting cycle synchronized with the </w:t>
      </w:r>
      <w:r w:rsidR="00384E7D">
        <w:t>UPR</w:t>
      </w:r>
      <w:r>
        <w:t xml:space="preserve"> but which should also take into account the periodicity provided for in the respective treaties</w:t>
      </w:r>
      <w:r w:rsidR="0069516F">
        <w:t>.</w:t>
      </w:r>
      <w:r w:rsidR="00046F28" w:rsidRPr="005C586F">
        <w:rPr>
          <w:rFonts w:cs="Calibri"/>
          <w:lang w:eastAsia="en-US"/>
        </w:rPr>
        <w:t xml:space="preserve"> In the opinion of a number of States, an aligned reporting process and constructive dialogue should be encouraged.</w:t>
      </w:r>
      <w:r w:rsidR="0069516F">
        <w:rPr>
          <w:rFonts w:cs="Calibri"/>
          <w:lang w:eastAsia="en-US"/>
        </w:rPr>
        <w:t xml:space="preserve"> </w:t>
      </w:r>
    </w:p>
    <w:p w:rsidR="005E73E1" w:rsidRDefault="005E73E1" w:rsidP="005C586F">
      <w:pPr>
        <w:pStyle w:val="ListParagraph"/>
        <w:tabs>
          <w:tab w:val="left" w:pos="567"/>
        </w:tabs>
        <w:ind w:left="0"/>
        <w:jc w:val="both"/>
        <w:rPr>
          <w:rFonts w:cs="Calibri"/>
          <w:lang w:eastAsia="en-US"/>
        </w:rPr>
      </w:pPr>
    </w:p>
    <w:p w:rsidR="00756AFB" w:rsidRDefault="005E73E1" w:rsidP="005C586F">
      <w:pPr>
        <w:pStyle w:val="ListParagraph"/>
        <w:numPr>
          <w:ilvl w:val="0"/>
          <w:numId w:val="5"/>
        </w:numPr>
        <w:tabs>
          <w:tab w:val="left" w:pos="567"/>
        </w:tabs>
        <w:ind w:left="0" w:firstLine="0"/>
        <w:jc w:val="both"/>
        <w:rPr>
          <w:rFonts w:cs="Calibri"/>
          <w:lang w:eastAsia="en-US"/>
        </w:rPr>
      </w:pPr>
      <w:r>
        <w:rPr>
          <w:rFonts w:cs="Calibri"/>
          <w:lang w:eastAsia="en-US"/>
        </w:rPr>
        <w:t>With respect to the preparation of States parties’ reports, many States called for a more consultative process at the national level.</w:t>
      </w:r>
      <w:r w:rsidR="00C832AA">
        <w:rPr>
          <w:rFonts w:cs="Calibri"/>
          <w:lang w:eastAsia="en-US"/>
        </w:rPr>
        <w:t xml:space="preserve"> The role of NHRIs and civil society organizations was deemed important by many States</w:t>
      </w:r>
      <w:r w:rsidR="00C832AA" w:rsidRPr="00C832AA">
        <w:rPr>
          <w:rFonts w:cs="Calibri"/>
          <w:lang w:eastAsia="en-US"/>
        </w:rPr>
        <w:t xml:space="preserve"> </w:t>
      </w:r>
      <w:r w:rsidR="00C832AA">
        <w:rPr>
          <w:rFonts w:cs="Calibri"/>
          <w:lang w:eastAsia="en-US"/>
        </w:rPr>
        <w:t>not only in the preparation phase but throughout the reporting process.</w:t>
      </w:r>
      <w:r w:rsidR="0084416A">
        <w:rPr>
          <w:rFonts w:cs="Calibri"/>
          <w:lang w:eastAsia="en-US"/>
        </w:rPr>
        <w:t xml:space="preserve"> In the view of some the participation of these stakeholders in the consultation phase should be reflected in the State party’s report.</w:t>
      </w:r>
    </w:p>
    <w:p w:rsidR="00756AFB" w:rsidRPr="005C586F" w:rsidRDefault="00756AFB" w:rsidP="005C586F">
      <w:pPr>
        <w:pStyle w:val="ListParagraph"/>
        <w:tabs>
          <w:tab w:val="left" w:pos="567"/>
        </w:tabs>
        <w:ind w:left="0"/>
        <w:jc w:val="both"/>
        <w:rPr>
          <w:rFonts w:cs="Calibri"/>
          <w:lang w:eastAsia="en-US"/>
        </w:rPr>
      </w:pPr>
    </w:p>
    <w:p w:rsidR="00C30CAE" w:rsidRDefault="00756AFB" w:rsidP="00C30CAE">
      <w:pPr>
        <w:pStyle w:val="ListParagraph"/>
        <w:numPr>
          <w:ilvl w:val="0"/>
          <w:numId w:val="5"/>
        </w:numPr>
        <w:tabs>
          <w:tab w:val="left" w:pos="567"/>
        </w:tabs>
        <w:ind w:left="0" w:firstLine="0"/>
        <w:jc w:val="both"/>
        <w:rPr>
          <w:rFonts w:cs="Calibri"/>
          <w:lang w:eastAsia="en-US"/>
        </w:rPr>
      </w:pPr>
      <w:r>
        <w:rPr>
          <w:rFonts w:cs="Calibri"/>
          <w:lang w:eastAsia="en-US"/>
        </w:rPr>
        <w:t xml:space="preserve">Turning to the issue of non-reporting States and their examination in the absence of a report, a number of </w:t>
      </w:r>
      <w:r w:rsidR="00CF69EC">
        <w:rPr>
          <w:rFonts w:cs="Calibri"/>
          <w:lang w:eastAsia="en-US"/>
        </w:rPr>
        <w:t>delegations</w:t>
      </w:r>
      <w:r>
        <w:rPr>
          <w:rFonts w:cs="Calibri"/>
          <w:lang w:eastAsia="en-US"/>
        </w:rPr>
        <w:t xml:space="preserve"> referred to the lack of capacity </w:t>
      </w:r>
      <w:r w:rsidR="00CF69EC">
        <w:rPr>
          <w:rFonts w:cs="Calibri"/>
          <w:lang w:eastAsia="en-US"/>
        </w:rPr>
        <w:t>of</w:t>
      </w:r>
      <w:r>
        <w:rPr>
          <w:rFonts w:cs="Calibri"/>
          <w:lang w:eastAsia="en-US"/>
        </w:rPr>
        <w:t xml:space="preserve"> some States to fulfil their reporting obligations and underscored the need for technical cooperation and capacity building that should be made available to them by OHCHR.</w:t>
      </w:r>
      <w:r w:rsidR="00CF69EC">
        <w:rPr>
          <w:rFonts w:cs="Calibri"/>
          <w:lang w:eastAsia="en-US"/>
        </w:rPr>
        <w:t xml:space="preserve"> They favoured cooperation with the State</w:t>
      </w:r>
      <w:r w:rsidR="00BB719F">
        <w:rPr>
          <w:rFonts w:cs="Calibri"/>
          <w:lang w:eastAsia="en-US"/>
        </w:rPr>
        <w:t>s</w:t>
      </w:r>
      <w:r w:rsidR="00CF69EC">
        <w:rPr>
          <w:rFonts w:cs="Calibri"/>
          <w:lang w:eastAsia="en-US"/>
        </w:rPr>
        <w:t xml:space="preserve"> parties concerned and did not support reviews </w:t>
      </w:r>
      <w:r w:rsidR="00CF69EC" w:rsidRPr="005C586F">
        <w:rPr>
          <w:rFonts w:cs="Calibri"/>
          <w:i/>
          <w:lang w:eastAsia="en-US"/>
        </w:rPr>
        <w:t xml:space="preserve">in </w:t>
      </w:r>
      <w:r w:rsidR="00CC26AB" w:rsidRPr="00CC26AB">
        <w:rPr>
          <w:rFonts w:cs="Calibri"/>
          <w:i/>
          <w:lang w:eastAsia="en-US"/>
        </w:rPr>
        <w:t>absentia</w:t>
      </w:r>
      <w:r w:rsidR="00CF69EC">
        <w:rPr>
          <w:rFonts w:cs="Calibri"/>
          <w:lang w:eastAsia="en-US"/>
        </w:rPr>
        <w:t>.</w:t>
      </w:r>
      <w:r w:rsidR="00A95710">
        <w:rPr>
          <w:rFonts w:cs="Calibri"/>
          <w:lang w:eastAsia="en-US"/>
        </w:rPr>
        <w:t xml:space="preserve"> </w:t>
      </w:r>
    </w:p>
    <w:p w:rsidR="00C30CAE" w:rsidRDefault="00C30CAE" w:rsidP="00C30CAE">
      <w:pPr>
        <w:pStyle w:val="ListParagraph"/>
        <w:tabs>
          <w:tab w:val="left" w:pos="567"/>
        </w:tabs>
        <w:ind w:left="0"/>
        <w:jc w:val="both"/>
        <w:rPr>
          <w:rFonts w:cs="Calibri"/>
          <w:lang w:eastAsia="en-US"/>
        </w:rPr>
      </w:pPr>
    </w:p>
    <w:p w:rsidR="00C30CAE" w:rsidRPr="00C30CAE" w:rsidRDefault="00C30CAE" w:rsidP="00C30CAE">
      <w:pPr>
        <w:pStyle w:val="ListParagraph"/>
        <w:numPr>
          <w:ilvl w:val="0"/>
          <w:numId w:val="5"/>
        </w:numPr>
        <w:tabs>
          <w:tab w:val="left" w:pos="567"/>
        </w:tabs>
        <w:ind w:left="0" w:firstLine="0"/>
        <w:jc w:val="both"/>
        <w:rPr>
          <w:rFonts w:cs="Calibri"/>
          <w:lang w:eastAsia="en-US"/>
        </w:rPr>
      </w:pPr>
      <w:r w:rsidRPr="00C30CAE">
        <w:rPr>
          <w:rFonts w:cs="Calibri"/>
          <w:lang w:eastAsia="en-US"/>
        </w:rPr>
        <w:t>A suggestion was made to consider establishing a General Assembly working group to look into cases of consistent non-compliance of States Parties with their legally binding reporting obligations. With respect to reservations made by States when acceding to human rights treaties, the view was expressed that the meetings of States Parties should address the issue this issue with a view to reducing them in number and substance.</w:t>
      </w:r>
    </w:p>
    <w:p w:rsidR="00A95710" w:rsidRDefault="00A95710" w:rsidP="005C586F">
      <w:pPr>
        <w:pStyle w:val="ListParagraph"/>
        <w:tabs>
          <w:tab w:val="left" w:pos="567"/>
        </w:tabs>
        <w:ind w:left="0"/>
        <w:jc w:val="both"/>
        <w:rPr>
          <w:rFonts w:cs="Calibri"/>
          <w:lang w:eastAsia="en-US"/>
        </w:rPr>
      </w:pPr>
    </w:p>
    <w:p w:rsidR="00384E7D" w:rsidRPr="005C586F" w:rsidRDefault="00A95710" w:rsidP="001566B4">
      <w:pPr>
        <w:pStyle w:val="ListParagraph"/>
        <w:numPr>
          <w:ilvl w:val="0"/>
          <w:numId w:val="5"/>
        </w:numPr>
        <w:tabs>
          <w:tab w:val="left" w:pos="567"/>
        </w:tabs>
        <w:ind w:left="0" w:firstLine="0"/>
        <w:jc w:val="both"/>
        <w:rPr>
          <w:rFonts w:cs="Calibri"/>
          <w:lang w:eastAsia="en-US"/>
        </w:rPr>
      </w:pPr>
      <w:r>
        <w:rPr>
          <w:rFonts w:cs="Calibri"/>
          <w:lang w:eastAsia="en-US"/>
        </w:rPr>
        <w:t>Some States supported the practice of a few treaty bodies requesting follow-up reports on the implementation of a few urgent recommendations within one to two years and encouraged other committees to adopt this procedure.</w:t>
      </w:r>
    </w:p>
    <w:p w:rsidR="005E73E1" w:rsidRPr="005C586F" w:rsidRDefault="00797CCE" w:rsidP="005C586F">
      <w:pPr>
        <w:tabs>
          <w:tab w:val="left" w:pos="567"/>
        </w:tabs>
        <w:jc w:val="both"/>
        <w:rPr>
          <w:rFonts w:cs="Calibri"/>
          <w:b/>
          <w:lang w:eastAsia="en-US"/>
        </w:rPr>
      </w:pPr>
      <w:r w:rsidRPr="00573FD9">
        <w:rPr>
          <w:rFonts w:cs="Calibri"/>
          <w:b/>
          <w:lang w:eastAsia="en-US"/>
        </w:rPr>
        <w:t>Dialogue</w:t>
      </w:r>
    </w:p>
    <w:p w:rsidR="000F542A" w:rsidRDefault="00CF69EC" w:rsidP="001C11D4">
      <w:pPr>
        <w:pStyle w:val="ListParagraph"/>
        <w:numPr>
          <w:ilvl w:val="0"/>
          <w:numId w:val="5"/>
        </w:numPr>
        <w:tabs>
          <w:tab w:val="left" w:pos="567"/>
        </w:tabs>
        <w:ind w:left="0" w:firstLine="0"/>
        <w:jc w:val="both"/>
      </w:pPr>
      <w:r>
        <w:t>In the view of many States, the constructive dialogue needs to be more focused, with shorter time allocation for interventions by both treaty body members and State</w:t>
      </w:r>
      <w:r w:rsidR="00BB719F">
        <w:t>s</w:t>
      </w:r>
      <w:r>
        <w:t xml:space="preserve"> parties’ representatives, and sustained efforts by members to avoid duplication of questions posed. </w:t>
      </w:r>
      <w:r w:rsidR="00CC26AB">
        <w:t>Some States suggested that treaty bodies send delegations</w:t>
      </w:r>
      <w:r>
        <w:t xml:space="preserve"> the</w:t>
      </w:r>
      <w:r w:rsidR="00CC26AB">
        <w:t>ir</w:t>
      </w:r>
      <w:r>
        <w:t xml:space="preserve"> questions in advance </w:t>
      </w:r>
      <w:r w:rsidR="00CC26AB">
        <w:t xml:space="preserve">of the dialogue to allow for a better preparation and </w:t>
      </w:r>
      <w:r w:rsidR="00384E7D">
        <w:t xml:space="preserve">a </w:t>
      </w:r>
      <w:r w:rsidR="00CC26AB">
        <w:t xml:space="preserve">more </w:t>
      </w:r>
      <w:r w:rsidR="00AF259F">
        <w:t>structured</w:t>
      </w:r>
      <w:r w:rsidR="00CC26AB">
        <w:t xml:space="preserve"> discussion during the examination of the State party’s report.</w:t>
      </w:r>
      <w:r w:rsidR="000F63DC">
        <w:t xml:space="preserve"> </w:t>
      </w:r>
      <w:r w:rsidR="00AF259F">
        <w:t xml:space="preserve">Some States considered the idea of country task forces a good practice </w:t>
      </w:r>
      <w:r w:rsidR="000F63DC">
        <w:t>to be introduced across treaty bodies which they preferred to the appointment of one or two rapporteurs.</w:t>
      </w:r>
      <w:r w:rsidR="001C11D4">
        <w:t xml:space="preserve"> </w:t>
      </w:r>
      <w:r>
        <w:t>Concluding observations in turn should also be more focused in order to facilitate implementation by the State party</w:t>
      </w:r>
      <w:r w:rsidR="00384E7D">
        <w:t>,</w:t>
      </w:r>
      <w:r>
        <w:t xml:space="preserve"> and follow-up of the recommendations.</w:t>
      </w:r>
      <w:r w:rsidR="0084416A">
        <w:t xml:space="preserve"> Shorter concluding observations would also allow for shorter States parties reports in the view of some States.</w:t>
      </w:r>
      <w:r w:rsidR="00FA1FDB">
        <w:t xml:space="preserve"> </w:t>
      </w:r>
      <w:r w:rsidR="00BF6E5F">
        <w:t>Several</w:t>
      </w:r>
      <w:r w:rsidR="00FA1FDB">
        <w:t xml:space="preserve"> States stressed that concluding observations should be based on the dialogue and not include issues that were not discussed with the State party.</w:t>
      </w:r>
      <w:r w:rsidR="00A95710">
        <w:t xml:space="preserve"> </w:t>
      </w:r>
      <w:r w:rsidR="000F542A">
        <w:t xml:space="preserve">               </w:t>
      </w:r>
    </w:p>
    <w:p w:rsidR="001C11D4" w:rsidRDefault="000F542A" w:rsidP="001566B4">
      <w:pPr>
        <w:pStyle w:val="ListParagraph"/>
        <w:tabs>
          <w:tab w:val="left" w:pos="567"/>
        </w:tabs>
        <w:ind w:left="0"/>
        <w:jc w:val="both"/>
      </w:pPr>
      <w:r>
        <w:t xml:space="preserve">                                                                                                                                                                                                     </w:t>
      </w:r>
    </w:p>
    <w:p w:rsidR="000F542A" w:rsidRDefault="0084416A" w:rsidP="001C11D4">
      <w:pPr>
        <w:pStyle w:val="ListParagraph"/>
        <w:numPr>
          <w:ilvl w:val="0"/>
          <w:numId w:val="5"/>
        </w:numPr>
        <w:tabs>
          <w:tab w:val="left" w:pos="567"/>
        </w:tabs>
        <w:ind w:left="0" w:firstLine="0"/>
        <w:jc w:val="both"/>
      </w:pPr>
      <w:r>
        <w:t>Many States expressed s</w:t>
      </w:r>
      <w:r w:rsidR="005E73E1">
        <w:t xml:space="preserve">trong support for video conferencing and webcasting, provided that the </w:t>
      </w:r>
      <w:r w:rsidR="00C832AA">
        <w:t>costs are</w:t>
      </w:r>
      <w:r w:rsidR="005E73E1">
        <w:t xml:space="preserve"> bearable</w:t>
      </w:r>
      <w:r w:rsidR="00CC26AB">
        <w:t>, and invited the OHCHR to undertake an analysis of cost implications</w:t>
      </w:r>
      <w:r w:rsidR="00BF6E5F">
        <w:t xml:space="preserve"> to that effect</w:t>
      </w:r>
      <w:r w:rsidR="005E73E1">
        <w:t>.</w:t>
      </w:r>
      <w:r>
        <w:t xml:space="preserve"> Some States also highlighted that </w:t>
      </w:r>
      <w:r w:rsidRPr="0084416A">
        <w:t xml:space="preserve">the support of UN country teams for technical facilities </w:t>
      </w:r>
      <w:r>
        <w:t xml:space="preserve">would be needed </w:t>
      </w:r>
      <w:r w:rsidRPr="0084416A">
        <w:t>in the case of States with limited financial and technical capacity</w:t>
      </w:r>
      <w:r>
        <w:t>.</w:t>
      </w:r>
      <w:r w:rsidR="006F7C69" w:rsidDel="006F7C69">
        <w:rPr>
          <w:rStyle w:val="FootnoteReference"/>
        </w:rPr>
        <w:t xml:space="preserve"> </w:t>
      </w:r>
      <w:r>
        <w:t xml:space="preserve">In the view of some States treaty bodies could hold </w:t>
      </w:r>
      <w:r w:rsidR="00046F28">
        <w:t>sessions in the regions which would result in important savings for States with limited financial capacity.</w:t>
      </w:r>
      <w:r w:rsidR="00AF259F">
        <w:t xml:space="preserve"> </w:t>
      </w:r>
      <w:r w:rsidR="000F542A">
        <w:t xml:space="preserve">    </w:t>
      </w:r>
    </w:p>
    <w:p w:rsidR="001C11D4" w:rsidRDefault="000F542A" w:rsidP="001566B4">
      <w:pPr>
        <w:pStyle w:val="ListParagraph"/>
        <w:tabs>
          <w:tab w:val="left" w:pos="567"/>
        </w:tabs>
        <w:ind w:left="0"/>
        <w:jc w:val="both"/>
      </w:pPr>
      <w:r>
        <w:t xml:space="preserve">                                                                                                                                                                                                                                                                                                                                </w:t>
      </w:r>
    </w:p>
    <w:p w:rsidR="00BD1FAA" w:rsidRDefault="00BD1FAA" w:rsidP="00BD1FAA">
      <w:pPr>
        <w:pStyle w:val="ListParagraph"/>
        <w:tabs>
          <w:tab w:val="left" w:pos="567"/>
        </w:tabs>
        <w:ind w:left="0"/>
        <w:jc w:val="both"/>
      </w:pPr>
    </w:p>
    <w:p w:rsidR="00BD1FAA" w:rsidRDefault="00BD1FAA" w:rsidP="001566B4">
      <w:pPr>
        <w:pStyle w:val="ListParagraph"/>
        <w:numPr>
          <w:ilvl w:val="0"/>
          <w:numId w:val="5"/>
        </w:numPr>
        <w:tabs>
          <w:tab w:val="left" w:pos="567"/>
        </w:tabs>
        <w:ind w:left="0" w:firstLine="0"/>
        <w:jc w:val="both"/>
      </w:pPr>
      <w:r>
        <w:rPr>
          <w:sz w:val="24"/>
          <w:szCs w:val="24"/>
        </w:rPr>
        <w:t xml:space="preserve">The resource persons were invited to take the floor. Mr </w:t>
      </w:r>
      <w:r w:rsidRPr="00EF4386">
        <w:rPr>
          <w:sz w:val="24"/>
          <w:szCs w:val="24"/>
        </w:rPr>
        <w:t>Grossman (CAT) emphasised that in order to ensure a rich interactive dialogue, delegations need to be well prepared in advance. He stressed the need for t</w:t>
      </w:r>
      <w:r>
        <w:rPr>
          <w:sz w:val="24"/>
          <w:szCs w:val="24"/>
        </w:rPr>
        <w:t>reaty bodies to consider facts</w:t>
      </w:r>
      <w:r w:rsidRPr="00EF4386">
        <w:rPr>
          <w:sz w:val="24"/>
          <w:szCs w:val="24"/>
        </w:rPr>
        <w:t xml:space="preserve"> and not only normative text</w:t>
      </w:r>
      <w:r>
        <w:rPr>
          <w:sz w:val="24"/>
          <w:szCs w:val="24"/>
        </w:rPr>
        <w:t>s wh</w:t>
      </w:r>
      <w:r w:rsidRPr="00EF4386">
        <w:rPr>
          <w:sz w:val="24"/>
          <w:szCs w:val="24"/>
        </w:rPr>
        <w:t>en examining States parties report</w:t>
      </w:r>
      <w:r>
        <w:rPr>
          <w:sz w:val="24"/>
          <w:szCs w:val="24"/>
        </w:rPr>
        <w:t>s</w:t>
      </w:r>
      <w:r w:rsidRPr="00EF4386">
        <w:rPr>
          <w:sz w:val="24"/>
          <w:szCs w:val="24"/>
        </w:rPr>
        <w:t>, particularly when facing persistent violations of a treaty. Facts and their verification are critical. Referring to the use of technology, he acknowledged that it will impact the functioning of the treaty bodies and required co</w:t>
      </w:r>
      <w:r>
        <w:rPr>
          <w:sz w:val="24"/>
          <w:szCs w:val="24"/>
        </w:rPr>
        <w:t>nstant evalua</w:t>
      </w:r>
      <w:r w:rsidRPr="00EF4386">
        <w:rPr>
          <w:sz w:val="24"/>
          <w:szCs w:val="24"/>
        </w:rPr>
        <w:t xml:space="preserve">tion. Turning to the LOIPR which CAT was </w:t>
      </w:r>
      <w:r>
        <w:rPr>
          <w:sz w:val="24"/>
          <w:szCs w:val="24"/>
        </w:rPr>
        <w:t xml:space="preserve">the first committee to adopt, Mr </w:t>
      </w:r>
      <w:r w:rsidRPr="00EF4386">
        <w:rPr>
          <w:sz w:val="24"/>
          <w:szCs w:val="24"/>
        </w:rPr>
        <w:t>Grossman concluded that it is a valuable optional procedure well received by numerous States allowing for a mor</w:t>
      </w:r>
      <w:r>
        <w:rPr>
          <w:sz w:val="24"/>
          <w:szCs w:val="24"/>
        </w:rPr>
        <w:t xml:space="preserve">e focused interactive dialogue. As a new procedure, </w:t>
      </w:r>
      <w:r w:rsidRPr="00EF4386">
        <w:rPr>
          <w:sz w:val="24"/>
          <w:szCs w:val="24"/>
        </w:rPr>
        <w:t>CAT will continue to evaluate it.</w:t>
      </w:r>
    </w:p>
    <w:p w:rsidR="001C11D4" w:rsidRDefault="001C11D4" w:rsidP="001566B4">
      <w:pPr>
        <w:pStyle w:val="ListParagraph"/>
        <w:tabs>
          <w:tab w:val="left" w:pos="567"/>
        </w:tabs>
        <w:ind w:left="0"/>
        <w:jc w:val="both"/>
      </w:pPr>
    </w:p>
    <w:p w:rsidR="000A7385" w:rsidRPr="00D72B49" w:rsidRDefault="005077E2" w:rsidP="001566B4">
      <w:pPr>
        <w:pStyle w:val="ListParagraph"/>
        <w:numPr>
          <w:ilvl w:val="0"/>
          <w:numId w:val="5"/>
        </w:numPr>
        <w:tabs>
          <w:tab w:val="left" w:pos="0"/>
          <w:tab w:val="left" w:pos="567"/>
        </w:tabs>
        <w:autoSpaceDE w:val="0"/>
        <w:autoSpaceDN w:val="0"/>
        <w:adjustRightInd w:val="0"/>
        <w:ind w:left="0" w:firstLine="0"/>
        <w:jc w:val="both"/>
        <w:rPr>
          <w:rFonts w:cs="Calibri"/>
          <w:color w:val="000000"/>
          <w:lang w:val="en"/>
        </w:rPr>
      </w:pPr>
      <w:r>
        <w:t xml:space="preserve">Ms </w:t>
      </w:r>
      <w:r w:rsidR="00BF6E5F">
        <w:t xml:space="preserve">Barbara </w:t>
      </w:r>
      <w:r>
        <w:t xml:space="preserve">Bailey (CEDAW) emphasized the need for more focused </w:t>
      </w:r>
      <w:r w:rsidR="009851F0">
        <w:t>State</w:t>
      </w:r>
      <w:r w:rsidR="00BB719F">
        <w:t>s</w:t>
      </w:r>
      <w:r w:rsidR="009851F0">
        <w:t xml:space="preserve"> parties’ </w:t>
      </w:r>
      <w:r>
        <w:t>report</w:t>
      </w:r>
      <w:r w:rsidR="009851F0">
        <w:t>s</w:t>
      </w:r>
      <w:r>
        <w:t>, dialogue and concluding observations</w:t>
      </w:r>
      <w:r w:rsidR="009851F0">
        <w:t>. In her view,</w:t>
      </w:r>
      <w:r>
        <w:t xml:space="preserve"> the latter should be the starting point for the next periodic report.</w:t>
      </w:r>
      <w:r w:rsidR="009851F0">
        <w:t xml:space="preserve"> She also underscored the importance of an inclusive process in the preparation of reports, and called for the creation of a mechanism with an institutional base at national level that would facilitate the dialogue between the </w:t>
      </w:r>
      <w:r w:rsidR="00BB719F">
        <w:t>States</w:t>
      </w:r>
      <w:r w:rsidR="009851F0">
        <w:t xml:space="preserve"> party and treaty bodies during the reporting process. She suggested that in the case of non-reporting </w:t>
      </w:r>
      <w:r w:rsidR="00BF6E5F">
        <w:t>State</w:t>
      </w:r>
      <w:r w:rsidR="009851F0">
        <w:t>s, in situ visits could be undertaken. Referring to the constructive dialogue, Ms Bailey shared the practice of CEDAW in respect of country task forces with limited number of interventions and follow-up questions by other</w:t>
      </w:r>
      <w:r w:rsidR="007A3BFA">
        <w:t xml:space="preserve"> members</w:t>
      </w:r>
      <w:r w:rsidR="007A3BFA" w:rsidRPr="001C11D4">
        <w:t>.</w:t>
      </w:r>
      <w:r w:rsidR="000A7385" w:rsidRPr="001566B4">
        <w:rPr>
          <w:rFonts w:cs="Calibri"/>
          <w:lang w:val="en"/>
        </w:rPr>
        <w:t xml:space="preserve"> Ms Bailey also highlighted the p</w:t>
      </w:r>
      <w:r w:rsidR="000A7385" w:rsidRPr="001566B4">
        <w:t xml:space="preserve">reparation by State parties as extremely important, as in her view a lot of </w:t>
      </w:r>
      <w:r w:rsidR="000A7385" w:rsidRPr="001566B4">
        <w:rPr>
          <w:color w:val="000000"/>
        </w:rPr>
        <w:t>time could be better used during the constructive dialogue.</w:t>
      </w:r>
      <w:r w:rsidR="000A7385" w:rsidRPr="001C11D4">
        <w:t xml:space="preserve"> In closing she called for more</w:t>
      </w:r>
      <w:r w:rsidR="000A7385">
        <w:t xml:space="preserve"> precise concluding observations which should contain measurable indicators and would facilitate implementation by States parties</w:t>
      </w:r>
    </w:p>
    <w:p w:rsidR="009C41B8" w:rsidRDefault="009C41B8" w:rsidP="005C586F">
      <w:pPr>
        <w:pStyle w:val="ListParagraph"/>
        <w:tabs>
          <w:tab w:val="left" w:pos="0"/>
          <w:tab w:val="left" w:pos="426"/>
          <w:tab w:val="left" w:pos="567"/>
        </w:tabs>
        <w:ind w:left="0"/>
        <w:jc w:val="both"/>
      </w:pPr>
    </w:p>
    <w:p w:rsidR="00AB72C7" w:rsidRDefault="00AB72C7" w:rsidP="00840D3F">
      <w:pPr>
        <w:pStyle w:val="ListParagraph"/>
        <w:tabs>
          <w:tab w:val="left" w:pos="0"/>
          <w:tab w:val="left" w:pos="426"/>
          <w:tab w:val="left" w:pos="567"/>
        </w:tabs>
        <w:ind w:left="0"/>
        <w:jc w:val="both"/>
      </w:pPr>
    </w:p>
    <w:p w:rsidR="00AB72C7" w:rsidRDefault="00AB72C7" w:rsidP="001566B4">
      <w:pPr>
        <w:pStyle w:val="ListParagraph"/>
        <w:numPr>
          <w:ilvl w:val="0"/>
          <w:numId w:val="5"/>
        </w:numPr>
        <w:tabs>
          <w:tab w:val="left" w:pos="0"/>
          <w:tab w:val="left" w:pos="567"/>
          <w:tab w:val="left" w:pos="709"/>
        </w:tabs>
        <w:ind w:left="0" w:firstLine="0"/>
        <w:jc w:val="both"/>
      </w:pPr>
      <w:r>
        <w:t xml:space="preserve">Ms Felice Gaer (CAT) expressed the view that the fixed calendar may be a helpful tool to improve States’ compliance with their reporting obligations, as the UPR process has demonstrated that all States can report and be present during the review if they know well in advance when their report will be considered. In her view, it is easier to endorse than to enforce the treaties.   Referring to the LOIPR, she indicated that CAT is currently trying to make the process more succinct and more effective. </w:t>
      </w:r>
      <w:r w:rsidR="00BF6B7E">
        <w:t>She considered that</w:t>
      </w:r>
      <w:r>
        <w:t xml:space="preserve"> the key to strengthen the treaty body system is greater compliance by States of their treaty obligations which will result in less need for information and shorter dialogues.</w:t>
      </w:r>
    </w:p>
    <w:p w:rsidR="00AB72C7" w:rsidRDefault="00AB72C7" w:rsidP="00840D3F">
      <w:pPr>
        <w:pStyle w:val="ListParagraph"/>
        <w:tabs>
          <w:tab w:val="left" w:pos="0"/>
          <w:tab w:val="left" w:pos="426"/>
          <w:tab w:val="left" w:pos="567"/>
        </w:tabs>
        <w:ind w:left="0"/>
        <w:jc w:val="both"/>
      </w:pPr>
      <w:r>
        <w:t xml:space="preserve"> </w:t>
      </w:r>
    </w:p>
    <w:p w:rsidR="00D72B49" w:rsidRDefault="00BF6B7E" w:rsidP="001566B4">
      <w:pPr>
        <w:pStyle w:val="ListParagraph"/>
        <w:numPr>
          <w:ilvl w:val="0"/>
          <w:numId w:val="5"/>
        </w:numPr>
        <w:tabs>
          <w:tab w:val="left" w:pos="0"/>
          <w:tab w:val="left" w:pos="567"/>
        </w:tabs>
        <w:ind w:left="0" w:firstLine="0"/>
        <w:jc w:val="both"/>
      </w:pPr>
      <w:r>
        <w:t>Ms Gaer also indicated that State parties and treaty b</w:t>
      </w:r>
      <w:r w:rsidR="00AB72C7">
        <w:t xml:space="preserve">odies need to keep a focus on ratifications, reporting, and results. </w:t>
      </w:r>
      <w:r>
        <w:t>In her view w</w:t>
      </w:r>
      <w:r w:rsidR="00AB72C7">
        <w:t xml:space="preserve">hat will help the most in terms of increasing the strength of the </w:t>
      </w:r>
      <w:r>
        <w:t>system is more compliance – if S</w:t>
      </w:r>
      <w:r w:rsidR="00AB72C7">
        <w:t>tates enforced their obli</w:t>
      </w:r>
      <w:r>
        <w:t>gations more consistently, the treaty b</w:t>
      </w:r>
      <w:r w:rsidR="00AB72C7">
        <w:t xml:space="preserve">odies would have less to do.   </w:t>
      </w:r>
      <w:r w:rsidR="00C764C6">
        <w:t>She stated that i</w:t>
      </w:r>
      <w:r w:rsidR="00AB72C7">
        <w:t xml:space="preserve">t is not only the promises we make, but the promises we keep, that matter. </w:t>
      </w:r>
      <w:r>
        <w:t>She considered that o</w:t>
      </w:r>
      <w:r w:rsidR="00AB72C7">
        <w:t>ther procedures</w:t>
      </w:r>
      <w:r>
        <w:t xml:space="preserve"> – such as visits and inquiries – will be key to treaty b</w:t>
      </w:r>
      <w:r w:rsidR="00AB72C7">
        <w:t xml:space="preserve">ody strengthening, </w:t>
      </w:r>
    </w:p>
    <w:p w:rsidR="00D72B49" w:rsidRDefault="00D72B49" w:rsidP="00840D3F">
      <w:pPr>
        <w:pStyle w:val="ListParagraph"/>
        <w:tabs>
          <w:tab w:val="left" w:pos="0"/>
          <w:tab w:val="left" w:pos="426"/>
          <w:tab w:val="left" w:pos="567"/>
        </w:tabs>
        <w:ind w:left="0"/>
        <w:jc w:val="both"/>
      </w:pPr>
    </w:p>
    <w:p w:rsidR="00D72B49" w:rsidRPr="001C11D4" w:rsidRDefault="00AB72C7" w:rsidP="001566B4">
      <w:pPr>
        <w:pStyle w:val="ListParagraph"/>
        <w:numPr>
          <w:ilvl w:val="0"/>
          <w:numId w:val="5"/>
        </w:numPr>
        <w:tabs>
          <w:tab w:val="left" w:pos="0"/>
          <w:tab w:val="left" w:pos="567"/>
        </w:tabs>
        <w:autoSpaceDE w:val="0"/>
        <w:autoSpaceDN w:val="0"/>
        <w:adjustRightInd w:val="0"/>
        <w:ind w:left="0" w:firstLine="0"/>
        <w:jc w:val="both"/>
        <w:rPr>
          <w:rFonts w:cs="Calibri"/>
          <w:lang w:val="en"/>
        </w:rPr>
      </w:pPr>
      <w:r>
        <w:t xml:space="preserve"> </w:t>
      </w:r>
      <w:r w:rsidR="00D72B49">
        <w:t xml:space="preserve">Referring to page limits, Sir Nigel Rodley (Human Rights Committee) was of the view that while this may be a good proposal, it needs to take into account the situation of Federal States, large States, as well as </w:t>
      </w:r>
      <w:r w:rsidR="00D72B49" w:rsidRPr="00352CDD">
        <w:rPr>
          <w:color w:val="000000"/>
        </w:rPr>
        <w:t>the complexity and range of issues covered by some treaties'</w:t>
      </w:r>
      <w:r w:rsidR="00D72B49">
        <w:t>, and should therefore be applied with some degree of flexibility. In respect of the LOIPR which is an idea of the Human Rights Committee in the context of the previous treaty body reform under former High Commissioner Louise Arbour, he reaffirmed the need of having the agreement of the State before the list is prepared, but stated that it was up to the committee to determine its content. Regarding the fixed calendar, Sir Nigel Rodley argued that it may pose a problem of periodicity for those committees who have it established in their respective treaties, and that it may have to be adapted.</w:t>
      </w:r>
      <w:r w:rsidR="00D72B49" w:rsidRPr="001566B4">
        <w:rPr>
          <w:rFonts w:cs="Calibri"/>
          <w:lang w:val="en"/>
        </w:rPr>
        <w:t>In his view w</w:t>
      </w:r>
      <w:r w:rsidR="00D72B49" w:rsidRPr="001566B4">
        <w:t xml:space="preserve">hat </w:t>
      </w:r>
      <w:r w:rsidR="00C764C6" w:rsidRPr="001566B4">
        <w:t>one</w:t>
      </w:r>
      <w:r w:rsidR="00D72B49" w:rsidRPr="001566B4">
        <w:t xml:space="preserve"> would lose with the calendar system is higher periodicity for States facing </w:t>
      </w:r>
      <w:r w:rsidR="00C764C6" w:rsidRPr="001566B4">
        <w:t xml:space="preserve">major difficulties </w:t>
      </w:r>
      <w:r w:rsidR="00D72B49" w:rsidRPr="001566B4">
        <w:t>and lower periodicity for States with fewer problems.</w:t>
      </w:r>
      <w:r w:rsidR="00D72B49" w:rsidRPr="001566B4">
        <w:rPr>
          <w:rFonts w:cs="Calibri"/>
          <w:lang w:val="en"/>
        </w:rPr>
        <w:t xml:space="preserve"> He also raised reservations regarding the review in the absence of a report which the calendar may institutionalize while it is currently the exception and </w:t>
      </w:r>
      <w:r w:rsidR="00D72B49" w:rsidRPr="001566B4">
        <w:t xml:space="preserve">only happens as a matter of last resort, after several reminders have been sent and based on criteria about the due date of </w:t>
      </w:r>
      <w:r w:rsidR="00C764C6" w:rsidRPr="001566B4">
        <w:t xml:space="preserve">a </w:t>
      </w:r>
      <w:r w:rsidR="00D72B49" w:rsidRPr="001566B4">
        <w:t>report</w:t>
      </w:r>
      <w:r w:rsidR="00C764C6" w:rsidRPr="001C11D4">
        <w:t>.</w:t>
      </w:r>
    </w:p>
    <w:p w:rsidR="00A45C04" w:rsidRDefault="00A45C04" w:rsidP="00840D3F">
      <w:pPr>
        <w:pStyle w:val="ListParagraph"/>
        <w:tabs>
          <w:tab w:val="left" w:pos="0"/>
          <w:tab w:val="left" w:pos="426"/>
          <w:tab w:val="left" w:pos="567"/>
        </w:tabs>
        <w:ind w:left="0"/>
        <w:jc w:val="both"/>
      </w:pPr>
    </w:p>
    <w:p w:rsidR="009D38C9" w:rsidRPr="005C586F" w:rsidRDefault="00A45C04" w:rsidP="001566B4">
      <w:pPr>
        <w:pStyle w:val="ListParagraph"/>
        <w:numPr>
          <w:ilvl w:val="0"/>
          <w:numId w:val="5"/>
        </w:numPr>
        <w:tabs>
          <w:tab w:val="left" w:pos="0"/>
          <w:tab w:val="left" w:pos="567"/>
        </w:tabs>
        <w:spacing w:after="0" w:line="240" w:lineRule="auto"/>
        <w:ind w:left="0" w:firstLine="0"/>
        <w:jc w:val="both"/>
      </w:pPr>
      <w:r>
        <w:t xml:space="preserve">The meeting was closed </w:t>
      </w:r>
      <w:r w:rsidRPr="005C586F">
        <w:t xml:space="preserve">by </w:t>
      </w:r>
      <w:r w:rsidRPr="005C586F">
        <w:rPr>
          <w:bCs/>
        </w:rPr>
        <w:t xml:space="preserve">Mr Ivan Šimonović, </w:t>
      </w:r>
      <w:r w:rsidR="00BF6E5F" w:rsidRPr="005C586F">
        <w:rPr>
          <w:bCs/>
        </w:rPr>
        <w:t xml:space="preserve">Assistant </w:t>
      </w:r>
      <w:r w:rsidR="00BF6E5F" w:rsidRPr="00531296">
        <w:rPr>
          <w:bCs/>
        </w:rPr>
        <w:t>Secretary</w:t>
      </w:r>
      <w:r w:rsidRPr="005C586F">
        <w:rPr>
          <w:bCs/>
        </w:rPr>
        <w:t>-General for Human Rights</w:t>
      </w:r>
      <w:r w:rsidRPr="00531296">
        <w:rPr>
          <w:bCs/>
        </w:rPr>
        <w:t xml:space="preserve">, on behalf of the High Commissioner. Mr Šimonović thanked participants for the </w:t>
      </w:r>
      <w:r w:rsidRPr="005C586F">
        <w:rPr>
          <w:bCs/>
        </w:rPr>
        <w:t>rich, frank, and constructive exchange of views</w:t>
      </w:r>
      <w:r w:rsidRPr="00531296">
        <w:rPr>
          <w:bCs/>
        </w:rPr>
        <w:t xml:space="preserve"> over the two days of the consultation which he believed was essential in bringing together the High Commissioner’s process of reflection </w:t>
      </w:r>
      <w:r w:rsidR="00591CA9">
        <w:rPr>
          <w:bCs/>
        </w:rPr>
        <w:t>that</w:t>
      </w:r>
      <w:r w:rsidRPr="00531296">
        <w:rPr>
          <w:bCs/>
        </w:rPr>
        <w:t xml:space="preserve"> will culminate in her report, with the process of action by States, through the intergovernmental process led by the President of the General Assembly. He invited participants to reflect on two possible scenarios; one where nothing is done to strengthen the treaty body system which will continue to face increasing backlogs, a high number of overdue reports, </w:t>
      </w:r>
      <w:r w:rsidR="00531296" w:rsidRPr="00531296">
        <w:rPr>
          <w:bCs/>
        </w:rPr>
        <w:t xml:space="preserve">an increasing waiting time for the consideration of a report; and </w:t>
      </w:r>
      <w:r w:rsidR="00531296">
        <w:rPr>
          <w:bCs/>
        </w:rPr>
        <w:t xml:space="preserve">one </w:t>
      </w:r>
      <w:r w:rsidR="00531296" w:rsidRPr="005C586F">
        <w:rPr>
          <w:bCs/>
        </w:rPr>
        <w:t>scenario in which the treaty bodies are strengthened along the many suggestions that have emerged to date</w:t>
      </w:r>
      <w:r w:rsidR="00531296">
        <w:rPr>
          <w:bCs/>
        </w:rPr>
        <w:t xml:space="preserve">. While acknowledging that </w:t>
      </w:r>
      <w:r w:rsidR="00531296" w:rsidRPr="00531296">
        <w:rPr>
          <w:bCs/>
        </w:rPr>
        <w:t xml:space="preserve">treaty bodies and the UN Secretariat must be solution-oriented and responsible in the use of scarce resources, </w:t>
      </w:r>
      <w:r w:rsidR="00531296">
        <w:rPr>
          <w:bCs/>
        </w:rPr>
        <w:t xml:space="preserve">explain and justify their costs, Mr </w:t>
      </w:r>
      <w:r w:rsidR="00531296" w:rsidRPr="00C50437">
        <w:rPr>
          <w:bCs/>
        </w:rPr>
        <w:t>Šimonović</w:t>
      </w:r>
      <w:r w:rsidR="00531296">
        <w:rPr>
          <w:bCs/>
        </w:rPr>
        <w:t xml:space="preserve"> underscored </w:t>
      </w:r>
      <w:r w:rsidR="00591CA9">
        <w:rPr>
          <w:bCs/>
        </w:rPr>
        <w:t xml:space="preserve">that </w:t>
      </w:r>
      <w:r w:rsidR="00591CA9" w:rsidRPr="00531296">
        <w:rPr>
          <w:bCs/>
        </w:rPr>
        <w:t>it</w:t>
      </w:r>
      <w:r w:rsidR="00531296" w:rsidRPr="00531296">
        <w:rPr>
          <w:bCs/>
        </w:rPr>
        <w:t xml:space="preserve"> is quite clear that </w:t>
      </w:r>
      <w:r w:rsidR="00531296" w:rsidRPr="005C586F">
        <w:rPr>
          <w:bCs/>
        </w:rPr>
        <w:t>the treaty body system will constantly deteriorate without additional investment by Member States</w:t>
      </w:r>
      <w:r w:rsidR="00531296">
        <w:rPr>
          <w:bCs/>
        </w:rPr>
        <w:t xml:space="preserve"> due to the constant increase in ratifications to human rights treaties. He concluded by expressing his</w:t>
      </w:r>
      <w:r w:rsidR="00531296" w:rsidRPr="00531296">
        <w:rPr>
          <w:bCs/>
        </w:rPr>
        <w:t xml:space="preserve"> confidence that the </w:t>
      </w:r>
      <w:r w:rsidR="00531296" w:rsidRPr="005C586F">
        <w:rPr>
          <w:bCs/>
        </w:rPr>
        <w:t xml:space="preserve">President of the General Assembly will put in place an inter-governmental process which embraces the multi-stakeholder approach, respects the powers and importance of all treaty bodies, and builds on the work of the last two years. </w:t>
      </w:r>
      <w:r w:rsidR="009D38C9" w:rsidRPr="005C586F">
        <w:br w:type="page"/>
      </w:r>
    </w:p>
    <w:p w:rsidR="009D38C9" w:rsidRPr="005C586F" w:rsidRDefault="009D38C9" w:rsidP="005C586F">
      <w:pPr>
        <w:pStyle w:val="ListParagraph"/>
        <w:tabs>
          <w:tab w:val="left" w:pos="0"/>
          <w:tab w:val="left" w:pos="426"/>
          <w:tab w:val="left" w:pos="567"/>
        </w:tabs>
        <w:ind w:left="0"/>
        <w:jc w:val="both"/>
      </w:pPr>
    </w:p>
    <w:p w:rsidR="009D38C9" w:rsidRPr="009D0A86" w:rsidRDefault="009D38C9" w:rsidP="009D38C9">
      <w:pPr>
        <w:spacing w:after="0" w:line="240" w:lineRule="auto"/>
        <w:jc w:val="center"/>
        <w:rPr>
          <w:rFonts w:cs="Calibri"/>
          <w:b/>
          <w:bCs/>
        </w:rPr>
      </w:pPr>
      <w:r w:rsidRPr="009D0A86">
        <w:rPr>
          <w:rFonts w:cs="Calibri"/>
          <w:b/>
          <w:bCs/>
        </w:rPr>
        <w:t>Treaty body strengthening</w:t>
      </w:r>
    </w:p>
    <w:p w:rsidR="009D38C9" w:rsidRPr="009D0A86" w:rsidRDefault="009D38C9" w:rsidP="009D38C9">
      <w:pPr>
        <w:spacing w:after="0" w:line="240" w:lineRule="auto"/>
        <w:jc w:val="center"/>
        <w:rPr>
          <w:rFonts w:cs="Calibri"/>
          <w:b/>
          <w:bCs/>
          <w:u w:val="single"/>
        </w:rPr>
      </w:pPr>
      <w:r w:rsidRPr="009D0A86">
        <w:rPr>
          <w:rFonts w:cs="Calibri"/>
          <w:b/>
          <w:bCs/>
          <w:u w:val="single"/>
        </w:rPr>
        <w:t xml:space="preserve"> Consultation for States parties to international human rights treaties</w:t>
      </w:r>
    </w:p>
    <w:p w:rsidR="009D38C9" w:rsidRPr="009D0A86" w:rsidRDefault="009D38C9" w:rsidP="009D38C9">
      <w:pPr>
        <w:spacing w:after="0" w:line="240" w:lineRule="auto"/>
        <w:jc w:val="center"/>
        <w:rPr>
          <w:rFonts w:cs="Calibri"/>
          <w:b/>
        </w:rPr>
      </w:pPr>
      <w:r w:rsidRPr="009D0A86">
        <w:rPr>
          <w:rFonts w:cs="Calibri"/>
          <w:b/>
        </w:rPr>
        <w:t>New York, 2-3 April 2012</w:t>
      </w:r>
    </w:p>
    <w:p w:rsidR="009D38C9" w:rsidRPr="00FE2C40" w:rsidRDefault="009D38C9" w:rsidP="009D38C9">
      <w:pPr>
        <w:spacing w:after="0" w:line="240" w:lineRule="auto"/>
        <w:jc w:val="center"/>
        <w:rPr>
          <w:rFonts w:cs="Calibri"/>
          <w:sz w:val="20"/>
          <w:szCs w:val="20"/>
        </w:rPr>
      </w:pPr>
    </w:p>
    <w:p w:rsidR="009D38C9" w:rsidRPr="005C586F" w:rsidRDefault="009D38C9" w:rsidP="009D38C9">
      <w:pPr>
        <w:spacing w:line="240" w:lineRule="auto"/>
        <w:jc w:val="both"/>
        <w:rPr>
          <w:rFonts w:cs="Calibri"/>
          <w:sz w:val="20"/>
          <w:szCs w:val="20"/>
        </w:rPr>
      </w:pPr>
      <w:r w:rsidRPr="00FE2C40">
        <w:rPr>
          <w:rFonts w:cs="Calibri"/>
          <w:sz w:val="20"/>
          <w:szCs w:val="20"/>
        </w:rPr>
        <w:t>States are encouraged to provide their views and concrete suggestions with respect to the points below on which discussions will focus.</w:t>
      </w:r>
      <w:r>
        <w:rPr>
          <w:rFonts w:cs="Calibri"/>
          <w:sz w:val="20"/>
          <w:szCs w:val="20"/>
        </w:rPr>
        <w:t xml:space="preserve"> </w:t>
      </w:r>
      <w:r w:rsidRPr="00E107ED">
        <w:rPr>
          <w:rFonts w:cs="Calibri"/>
          <w:sz w:val="20"/>
          <w:szCs w:val="20"/>
        </w:rPr>
        <w:t>Each segment will be moderated by a State representative. Treaty body members will act as resource persons. Th</w:t>
      </w:r>
      <w:r>
        <w:rPr>
          <w:rFonts w:cs="Calibri"/>
          <w:sz w:val="20"/>
          <w:szCs w:val="20"/>
        </w:rPr>
        <w:t>e</w:t>
      </w:r>
      <w:r w:rsidRPr="00E107ED">
        <w:rPr>
          <w:rFonts w:cs="Calibri"/>
          <w:sz w:val="20"/>
          <w:szCs w:val="20"/>
        </w:rPr>
        <w:t xml:space="preserve"> consultation builds on consultations held in </w:t>
      </w:r>
      <w:r>
        <w:rPr>
          <w:rFonts w:cs="Calibri"/>
          <w:sz w:val="20"/>
          <w:szCs w:val="20"/>
        </w:rPr>
        <w:t>Geneva on 7 and 8 February 2012</w:t>
      </w:r>
      <w:r w:rsidRPr="00E107ED">
        <w:rPr>
          <w:rFonts w:cs="Calibri"/>
          <w:sz w:val="20"/>
          <w:szCs w:val="20"/>
        </w:rPr>
        <w:t xml:space="preserve"> and will feed into the High Commissioner’s report to </w:t>
      </w:r>
      <w:r w:rsidRPr="005C586F">
        <w:rPr>
          <w:rFonts w:cs="Calibri"/>
          <w:sz w:val="20"/>
          <w:szCs w:val="20"/>
        </w:rPr>
        <w:t>be launched in June 2012.</w:t>
      </w:r>
    </w:p>
    <w:p w:rsidR="009D38C9" w:rsidRPr="00901AA3" w:rsidRDefault="009D38C9" w:rsidP="009D38C9">
      <w:pPr>
        <w:spacing w:line="240" w:lineRule="auto"/>
        <w:jc w:val="both"/>
        <w:rPr>
          <w:rFonts w:cs="Calibri"/>
          <w:b/>
          <w:sz w:val="20"/>
          <w:szCs w:val="20"/>
        </w:rPr>
      </w:pPr>
      <w:r w:rsidRPr="005C586F">
        <w:rPr>
          <w:rFonts w:cs="Calibri"/>
          <w:b/>
          <w:sz w:val="20"/>
          <w:szCs w:val="20"/>
        </w:rPr>
        <w:t xml:space="preserve">Monday, 2 April 2012 - </w:t>
      </w:r>
      <w:r w:rsidRPr="005C586F">
        <w:rPr>
          <w:rFonts w:cs="Calibri"/>
          <w:b/>
          <w:color w:val="000000"/>
          <w:sz w:val="20"/>
          <w:szCs w:val="20"/>
        </w:rPr>
        <w:t>North Lawn ECOSOC chamber</w:t>
      </w:r>
    </w:p>
    <w:p w:rsidR="009D38C9" w:rsidRPr="00CD12C4" w:rsidRDefault="009D38C9" w:rsidP="009D38C9">
      <w:pPr>
        <w:autoSpaceDE w:val="0"/>
        <w:autoSpaceDN w:val="0"/>
        <w:adjustRightInd w:val="0"/>
        <w:spacing w:after="240" w:line="240" w:lineRule="auto"/>
        <w:jc w:val="both"/>
        <w:rPr>
          <w:rFonts w:cs="Calibri"/>
          <w:b/>
          <w:bCs/>
          <w:color w:val="000000"/>
          <w:sz w:val="20"/>
          <w:szCs w:val="20"/>
        </w:rPr>
      </w:pPr>
      <w:r w:rsidRPr="00CD12C4">
        <w:rPr>
          <w:rFonts w:cs="Calibri"/>
          <w:b/>
          <w:sz w:val="20"/>
          <w:szCs w:val="20"/>
        </w:rPr>
        <w:t>10:00-10:</w:t>
      </w:r>
      <w:r>
        <w:rPr>
          <w:rFonts w:cs="Calibri"/>
          <w:b/>
          <w:sz w:val="20"/>
          <w:szCs w:val="20"/>
        </w:rPr>
        <w:t>4</w:t>
      </w:r>
      <w:r w:rsidRPr="00CD12C4">
        <w:rPr>
          <w:rFonts w:cs="Calibri"/>
          <w:b/>
          <w:sz w:val="20"/>
          <w:szCs w:val="20"/>
        </w:rPr>
        <w:t>5</w:t>
      </w:r>
      <w:r w:rsidRPr="00CD12C4">
        <w:rPr>
          <w:rFonts w:cs="Calibri"/>
          <w:b/>
          <w:sz w:val="20"/>
          <w:szCs w:val="20"/>
        </w:rPr>
        <w:tab/>
      </w:r>
      <w:r w:rsidRPr="00CD12C4">
        <w:rPr>
          <w:rFonts w:cs="Calibri"/>
          <w:b/>
          <w:bCs/>
          <w:color w:val="000000"/>
          <w:sz w:val="20"/>
          <w:szCs w:val="20"/>
        </w:rPr>
        <w:t>Opening</w:t>
      </w:r>
    </w:p>
    <w:p w:rsidR="009D38C9" w:rsidRPr="00CD12C4" w:rsidRDefault="009D38C9" w:rsidP="009D38C9">
      <w:pPr>
        <w:autoSpaceDE w:val="0"/>
        <w:autoSpaceDN w:val="0"/>
        <w:adjustRightInd w:val="0"/>
        <w:spacing w:after="240" w:line="240" w:lineRule="auto"/>
        <w:ind w:left="1440"/>
        <w:jc w:val="both"/>
        <w:rPr>
          <w:rFonts w:cs="Calibri"/>
          <w:b/>
          <w:bCs/>
          <w:sz w:val="20"/>
          <w:szCs w:val="20"/>
        </w:rPr>
      </w:pPr>
      <w:r w:rsidRPr="00CD12C4">
        <w:rPr>
          <w:rFonts w:cs="Calibri"/>
          <w:b/>
          <w:bCs/>
          <w:sz w:val="20"/>
          <w:szCs w:val="20"/>
        </w:rPr>
        <w:t>Opening address by Ms. Navi Pillay, High Commissioner for Human Rights, OHCHR</w:t>
      </w:r>
    </w:p>
    <w:p w:rsidR="009D38C9" w:rsidRPr="00CD12C4" w:rsidRDefault="009D38C9" w:rsidP="009D38C9">
      <w:pPr>
        <w:autoSpaceDE w:val="0"/>
        <w:autoSpaceDN w:val="0"/>
        <w:adjustRightInd w:val="0"/>
        <w:spacing w:after="0" w:line="240" w:lineRule="auto"/>
        <w:ind w:left="1418" w:firstLine="22"/>
        <w:rPr>
          <w:rFonts w:cs="Calibri"/>
          <w:b/>
          <w:sz w:val="20"/>
          <w:szCs w:val="20"/>
        </w:rPr>
      </w:pPr>
      <w:r w:rsidRPr="00CD12C4">
        <w:rPr>
          <w:rFonts w:cs="Calibri"/>
          <w:b/>
          <w:bCs/>
          <w:sz w:val="20"/>
          <w:szCs w:val="20"/>
        </w:rPr>
        <w:t xml:space="preserve">Opening address by Mr. </w:t>
      </w:r>
      <w:r w:rsidRPr="00CD12C4">
        <w:rPr>
          <w:rFonts w:cs="Calibri"/>
          <w:b/>
          <w:iCs/>
          <w:color w:val="000000"/>
          <w:sz w:val="20"/>
          <w:szCs w:val="20"/>
        </w:rPr>
        <w:t>Shaaban M. Shaaban, Under-Secretary-General, Department for General Assembly and Conference Management</w:t>
      </w:r>
    </w:p>
    <w:p w:rsidR="009D38C9" w:rsidRPr="00E107ED" w:rsidRDefault="009D38C9" w:rsidP="009D38C9">
      <w:pPr>
        <w:autoSpaceDE w:val="0"/>
        <w:autoSpaceDN w:val="0"/>
        <w:adjustRightInd w:val="0"/>
        <w:spacing w:after="0" w:line="240" w:lineRule="auto"/>
        <w:ind w:left="15"/>
        <w:rPr>
          <w:rFonts w:cs="Calibri"/>
          <w:b/>
          <w:bCs/>
          <w:sz w:val="20"/>
          <w:szCs w:val="20"/>
        </w:rPr>
      </w:pPr>
    </w:p>
    <w:p w:rsidR="009D38C9" w:rsidRDefault="009D38C9" w:rsidP="009D38C9">
      <w:pPr>
        <w:spacing w:line="240" w:lineRule="auto"/>
        <w:ind w:left="1418" w:hanging="1418"/>
        <w:jc w:val="both"/>
        <w:rPr>
          <w:rFonts w:cs="Calibri"/>
          <w:b/>
          <w:sz w:val="20"/>
          <w:szCs w:val="20"/>
        </w:rPr>
      </w:pPr>
      <w:r w:rsidRPr="00E107ED">
        <w:rPr>
          <w:rFonts w:cs="Calibri"/>
          <w:b/>
          <w:sz w:val="20"/>
          <w:szCs w:val="20"/>
        </w:rPr>
        <w:t>10:</w:t>
      </w:r>
      <w:r>
        <w:rPr>
          <w:rFonts w:cs="Calibri"/>
          <w:b/>
          <w:sz w:val="20"/>
          <w:szCs w:val="20"/>
        </w:rPr>
        <w:t>45</w:t>
      </w:r>
      <w:r w:rsidRPr="00E107ED">
        <w:rPr>
          <w:rFonts w:cs="Calibri"/>
          <w:b/>
          <w:sz w:val="20"/>
          <w:szCs w:val="20"/>
        </w:rPr>
        <w:t>-1</w:t>
      </w:r>
      <w:r>
        <w:rPr>
          <w:rFonts w:cs="Calibri"/>
          <w:b/>
          <w:sz w:val="20"/>
          <w:szCs w:val="20"/>
        </w:rPr>
        <w:t>2</w:t>
      </w:r>
      <w:r w:rsidRPr="00E107ED">
        <w:rPr>
          <w:rFonts w:cs="Calibri"/>
          <w:b/>
          <w:sz w:val="20"/>
          <w:szCs w:val="20"/>
        </w:rPr>
        <w:t xml:space="preserve">:00 </w:t>
      </w:r>
      <w:r w:rsidRPr="00E107ED">
        <w:rPr>
          <w:rFonts w:cs="Calibri"/>
          <w:b/>
          <w:sz w:val="20"/>
          <w:szCs w:val="20"/>
        </w:rPr>
        <w:tab/>
      </w:r>
      <w:r w:rsidRPr="00CD12C4">
        <w:rPr>
          <w:rFonts w:cs="Calibri"/>
          <w:b/>
          <w:bCs/>
          <w:sz w:val="20"/>
          <w:szCs w:val="20"/>
        </w:rPr>
        <w:t>Resourcing the treaty body system: Efficient and Effective Functioning of the Treaty Body System</w:t>
      </w:r>
      <w:r w:rsidRPr="00CD12C4">
        <w:rPr>
          <w:rFonts w:cs="Calibri"/>
          <w:b/>
          <w:sz w:val="20"/>
          <w:szCs w:val="20"/>
        </w:rPr>
        <w:tab/>
      </w:r>
    </w:p>
    <w:p w:rsidR="009D38C9" w:rsidRPr="000C34F0" w:rsidRDefault="009D38C9" w:rsidP="009D38C9">
      <w:pPr>
        <w:spacing w:after="0" w:line="240" w:lineRule="auto"/>
        <w:ind w:left="1418"/>
        <w:jc w:val="both"/>
        <w:rPr>
          <w:rFonts w:cs="Calibri"/>
          <w:b/>
          <w:sz w:val="20"/>
          <w:szCs w:val="20"/>
        </w:rPr>
      </w:pPr>
      <w:r w:rsidRPr="000C34F0">
        <w:rPr>
          <w:rFonts w:cs="Calibri"/>
          <w:bCs/>
          <w:sz w:val="20"/>
          <w:szCs w:val="20"/>
          <w:u w:val="single"/>
        </w:rPr>
        <w:t>Moderator:</w:t>
      </w:r>
      <w:r w:rsidRPr="000C34F0">
        <w:rPr>
          <w:rFonts w:cs="Calibri"/>
          <w:bCs/>
          <w:sz w:val="20"/>
          <w:szCs w:val="20"/>
        </w:rPr>
        <w:t xml:space="preserve"> </w:t>
      </w:r>
      <w:r>
        <w:rPr>
          <w:rFonts w:cs="Calibri"/>
          <w:sz w:val="20"/>
          <w:szCs w:val="20"/>
        </w:rPr>
        <w:t xml:space="preserve">H.E </w:t>
      </w:r>
      <w:r w:rsidRPr="000C34F0">
        <w:rPr>
          <w:rFonts w:cs="Calibri"/>
          <w:sz w:val="20"/>
          <w:szCs w:val="20"/>
        </w:rPr>
        <w:t>Le Hoai Trung</w:t>
      </w:r>
      <w:r w:rsidRPr="000C34F0">
        <w:rPr>
          <w:rFonts w:cs="Calibri"/>
          <w:b/>
          <w:sz w:val="20"/>
          <w:szCs w:val="20"/>
        </w:rPr>
        <w:t xml:space="preserve">, </w:t>
      </w:r>
    </w:p>
    <w:p w:rsidR="009D38C9" w:rsidRPr="000C34F0" w:rsidRDefault="009D38C9" w:rsidP="009D38C9">
      <w:pPr>
        <w:spacing w:after="0" w:line="240" w:lineRule="auto"/>
        <w:ind w:left="1418"/>
        <w:jc w:val="both"/>
        <w:rPr>
          <w:rFonts w:cs="Calibri"/>
          <w:b/>
          <w:sz w:val="20"/>
          <w:szCs w:val="20"/>
        </w:rPr>
      </w:pPr>
      <w:r w:rsidRPr="000C34F0">
        <w:rPr>
          <w:rFonts w:cs="Calibri"/>
          <w:sz w:val="20"/>
          <w:szCs w:val="20"/>
        </w:rPr>
        <w:t>Permanent Representative of the Socialist Republic of Viet Nam</w:t>
      </w:r>
    </w:p>
    <w:p w:rsidR="009D38C9" w:rsidRPr="000C34F0" w:rsidRDefault="009D38C9" w:rsidP="009D38C9">
      <w:pPr>
        <w:spacing w:after="0" w:line="240" w:lineRule="auto"/>
        <w:ind w:left="1418"/>
        <w:jc w:val="both"/>
        <w:rPr>
          <w:rFonts w:cs="Calibri"/>
          <w:b/>
          <w:sz w:val="20"/>
          <w:szCs w:val="20"/>
        </w:rPr>
      </w:pPr>
      <w:r w:rsidRPr="000C34F0">
        <w:rPr>
          <w:rFonts w:cs="Calibri"/>
          <w:bCs/>
          <w:sz w:val="20"/>
          <w:szCs w:val="20"/>
          <w:u w:val="single"/>
        </w:rPr>
        <w:t>Resource Persons/Treaty body experts:</w:t>
      </w:r>
      <w:r w:rsidRPr="000C34F0">
        <w:rPr>
          <w:rFonts w:cs="Calibri"/>
          <w:b/>
          <w:bCs/>
          <w:sz w:val="20"/>
          <w:szCs w:val="20"/>
        </w:rPr>
        <w:t xml:space="preserve"> </w:t>
      </w:r>
      <w:r w:rsidRPr="000C34F0">
        <w:rPr>
          <w:rFonts w:cs="Calibri"/>
          <w:color w:val="000000"/>
          <w:sz w:val="20"/>
          <w:szCs w:val="20"/>
        </w:rPr>
        <w:t xml:space="preserve">Ms. Christine Chanet, Mr. Gerald Neuman and </w:t>
      </w:r>
      <w:r w:rsidRPr="000C34F0">
        <w:rPr>
          <w:rFonts w:cs="Calibri"/>
          <w:color w:val="000000"/>
          <w:sz w:val="20"/>
          <w:szCs w:val="20"/>
        </w:rPr>
        <w:tab/>
      </w:r>
      <w:r w:rsidRPr="000C34F0">
        <w:rPr>
          <w:rFonts w:cs="Calibri"/>
          <w:color w:val="000000"/>
          <w:sz w:val="20"/>
          <w:szCs w:val="20"/>
        </w:rPr>
        <w:tab/>
        <w:t>Mr. Walter Kaelin (members of the HR Committee)</w:t>
      </w:r>
    </w:p>
    <w:p w:rsidR="009D38C9" w:rsidRDefault="009D38C9" w:rsidP="009D38C9">
      <w:pPr>
        <w:spacing w:after="0" w:line="240" w:lineRule="auto"/>
        <w:ind w:left="1418" w:firstLine="22"/>
        <w:jc w:val="both"/>
        <w:rPr>
          <w:rFonts w:cs="Calibri"/>
          <w:color w:val="000000"/>
          <w:sz w:val="20"/>
          <w:szCs w:val="20"/>
        </w:rPr>
      </w:pPr>
    </w:p>
    <w:p w:rsidR="009D38C9" w:rsidRDefault="009D38C9" w:rsidP="009D38C9">
      <w:pPr>
        <w:spacing w:after="0" w:line="240" w:lineRule="auto"/>
        <w:ind w:left="1418" w:firstLine="22"/>
        <w:jc w:val="both"/>
        <w:rPr>
          <w:rFonts w:cs="Calibri"/>
          <w:bCs/>
          <w:sz w:val="20"/>
          <w:szCs w:val="20"/>
        </w:rPr>
      </w:pPr>
      <w:r w:rsidRPr="006102F1">
        <w:rPr>
          <w:rFonts w:cs="Calibri"/>
          <w:color w:val="000000"/>
          <w:sz w:val="20"/>
          <w:szCs w:val="20"/>
        </w:rPr>
        <w:t xml:space="preserve">Presentation by </w:t>
      </w:r>
      <w:r>
        <w:rPr>
          <w:rFonts w:cs="Calibri"/>
          <w:color w:val="000000"/>
          <w:sz w:val="20"/>
          <w:szCs w:val="20"/>
        </w:rPr>
        <w:t>Mr. Paulo David, HRTD, OHCHR,</w:t>
      </w:r>
      <w:r w:rsidRPr="006102F1">
        <w:rPr>
          <w:rFonts w:cs="Calibri"/>
          <w:color w:val="000000"/>
          <w:sz w:val="20"/>
          <w:szCs w:val="20"/>
        </w:rPr>
        <w:t xml:space="preserve"> on facts and figures regarding the growth and financing of</w:t>
      </w:r>
      <w:r w:rsidRPr="006102F1">
        <w:rPr>
          <w:rFonts w:cs="Calibri"/>
          <w:color w:val="FF0000"/>
          <w:sz w:val="20"/>
          <w:szCs w:val="20"/>
        </w:rPr>
        <w:t xml:space="preserve"> </w:t>
      </w:r>
      <w:r w:rsidRPr="006102F1">
        <w:rPr>
          <w:rFonts w:cs="Calibri"/>
          <w:color w:val="000000"/>
          <w:sz w:val="20"/>
          <w:szCs w:val="20"/>
        </w:rPr>
        <w:t xml:space="preserve">the treaty body system </w:t>
      </w:r>
      <w:r w:rsidRPr="006102F1">
        <w:rPr>
          <w:rFonts w:cs="Calibri"/>
          <w:bCs/>
          <w:sz w:val="20"/>
          <w:szCs w:val="20"/>
        </w:rPr>
        <w:t xml:space="preserve">and the proposals contained in the report of the Secretary-General to the General Assembly (A/66/344) </w:t>
      </w:r>
      <w:r w:rsidRPr="006102F1">
        <w:rPr>
          <w:sz w:val="20"/>
          <w:szCs w:val="20"/>
        </w:rPr>
        <w:t>on “Measures to improve further the effectiveness, harmonization and reform of the treaty body system”</w:t>
      </w:r>
    </w:p>
    <w:p w:rsidR="009D38C9" w:rsidRDefault="009D38C9" w:rsidP="009D38C9">
      <w:pPr>
        <w:spacing w:after="0" w:line="240" w:lineRule="auto"/>
        <w:ind w:left="1418" w:firstLine="22"/>
        <w:jc w:val="both"/>
        <w:rPr>
          <w:rFonts w:cs="Calibri"/>
          <w:bCs/>
          <w:sz w:val="20"/>
          <w:szCs w:val="20"/>
        </w:rPr>
      </w:pPr>
    </w:p>
    <w:p w:rsidR="009D38C9" w:rsidRDefault="009D38C9" w:rsidP="009D38C9">
      <w:pPr>
        <w:spacing w:after="0" w:line="240" w:lineRule="auto"/>
        <w:ind w:left="1418" w:firstLine="22"/>
        <w:jc w:val="both"/>
        <w:rPr>
          <w:rFonts w:cs="Calibri"/>
          <w:bCs/>
          <w:sz w:val="20"/>
          <w:szCs w:val="20"/>
        </w:rPr>
      </w:pPr>
      <w:r w:rsidRPr="006102F1">
        <w:rPr>
          <w:rFonts w:cs="Calibri"/>
          <w:bCs/>
          <w:sz w:val="20"/>
          <w:szCs w:val="20"/>
        </w:rPr>
        <w:t xml:space="preserve">Presentation by </w:t>
      </w:r>
      <w:r>
        <w:rPr>
          <w:rFonts w:cs="Calibri"/>
          <w:bCs/>
          <w:sz w:val="20"/>
          <w:szCs w:val="20"/>
        </w:rPr>
        <w:t>Ms. Wan-Hea Lee, HRTD, OHCHR,</w:t>
      </w:r>
      <w:r w:rsidRPr="006102F1">
        <w:rPr>
          <w:rFonts w:cs="Calibri"/>
          <w:bCs/>
          <w:sz w:val="20"/>
          <w:szCs w:val="20"/>
        </w:rPr>
        <w:t xml:space="preserve"> on a comprehensive reporting calendar</w:t>
      </w:r>
    </w:p>
    <w:p w:rsidR="009D38C9" w:rsidRDefault="009D38C9" w:rsidP="009D38C9">
      <w:pPr>
        <w:spacing w:after="0" w:line="240" w:lineRule="auto"/>
        <w:ind w:left="1418" w:firstLine="22"/>
        <w:jc w:val="both"/>
        <w:rPr>
          <w:rFonts w:cs="Calibri"/>
          <w:bCs/>
          <w:sz w:val="20"/>
          <w:szCs w:val="20"/>
        </w:rPr>
      </w:pPr>
    </w:p>
    <w:p w:rsidR="009D38C9" w:rsidRDefault="009D38C9" w:rsidP="009D38C9">
      <w:pPr>
        <w:autoSpaceDE w:val="0"/>
        <w:autoSpaceDN w:val="0"/>
        <w:adjustRightInd w:val="0"/>
        <w:spacing w:after="240"/>
        <w:ind w:left="1440" w:hanging="1440"/>
        <w:jc w:val="both"/>
        <w:rPr>
          <w:rFonts w:cs="Calibri"/>
          <w:b/>
          <w:bCs/>
          <w:sz w:val="20"/>
          <w:szCs w:val="20"/>
        </w:rPr>
      </w:pPr>
      <w:r w:rsidRPr="00CD12C4">
        <w:rPr>
          <w:rFonts w:cs="Calibri"/>
          <w:b/>
          <w:bCs/>
          <w:sz w:val="20"/>
          <w:szCs w:val="20"/>
        </w:rPr>
        <w:t>12:00-12:15</w:t>
      </w:r>
      <w:r w:rsidRPr="00CD12C4">
        <w:rPr>
          <w:rFonts w:cs="Calibri"/>
          <w:b/>
          <w:bCs/>
          <w:sz w:val="20"/>
          <w:szCs w:val="20"/>
        </w:rPr>
        <w:tab/>
      </w:r>
      <w:r>
        <w:rPr>
          <w:rFonts w:cs="Calibri"/>
          <w:b/>
          <w:bCs/>
          <w:sz w:val="20"/>
          <w:szCs w:val="20"/>
        </w:rPr>
        <w:t xml:space="preserve">Address by </w:t>
      </w:r>
      <w:r w:rsidRPr="00CD12C4">
        <w:rPr>
          <w:rFonts w:cs="Calibri"/>
          <w:b/>
          <w:sz w:val="20"/>
          <w:szCs w:val="20"/>
        </w:rPr>
        <w:t>H.E. Mr. Nassir Abdulaziz Al-Nasser</w:t>
      </w:r>
      <w:r w:rsidRPr="00CD12C4">
        <w:rPr>
          <w:rFonts w:cs="Calibri"/>
          <w:b/>
          <w:bCs/>
          <w:sz w:val="20"/>
          <w:szCs w:val="20"/>
        </w:rPr>
        <w:t xml:space="preserve">, </w:t>
      </w:r>
      <w:r w:rsidRPr="00CD12C4">
        <w:rPr>
          <w:rFonts w:cs="Calibri"/>
          <w:b/>
          <w:sz w:val="20"/>
          <w:szCs w:val="20"/>
        </w:rPr>
        <w:t>President of the 66th Session of the United Nations General Assembly</w:t>
      </w:r>
    </w:p>
    <w:p w:rsidR="009D38C9" w:rsidRDefault="009D38C9" w:rsidP="009D38C9">
      <w:pPr>
        <w:autoSpaceDE w:val="0"/>
        <w:autoSpaceDN w:val="0"/>
        <w:adjustRightInd w:val="0"/>
        <w:spacing w:after="240"/>
        <w:ind w:left="1440" w:hanging="1440"/>
        <w:jc w:val="both"/>
        <w:rPr>
          <w:rFonts w:cs="Calibri"/>
          <w:b/>
          <w:bCs/>
          <w:sz w:val="20"/>
          <w:szCs w:val="20"/>
        </w:rPr>
      </w:pPr>
      <w:r>
        <w:rPr>
          <w:rFonts w:cs="Calibri"/>
          <w:b/>
          <w:bCs/>
          <w:sz w:val="20"/>
          <w:szCs w:val="20"/>
        </w:rPr>
        <w:tab/>
      </w:r>
      <w:r w:rsidRPr="00CD12C4">
        <w:rPr>
          <w:rFonts w:cs="Calibri"/>
          <w:b/>
          <w:bCs/>
          <w:sz w:val="20"/>
          <w:szCs w:val="20"/>
        </w:rPr>
        <w:t xml:space="preserve">Address by the United Nations Secretary-General, Mr. Ban Ki-moon </w:t>
      </w:r>
    </w:p>
    <w:p w:rsidR="009D38C9" w:rsidRDefault="009D38C9" w:rsidP="009D38C9">
      <w:pPr>
        <w:ind w:left="1440" w:hanging="1440"/>
        <w:jc w:val="both"/>
        <w:rPr>
          <w:rFonts w:cs="Calibri"/>
          <w:b/>
          <w:bCs/>
          <w:sz w:val="20"/>
          <w:szCs w:val="20"/>
        </w:rPr>
      </w:pPr>
      <w:r>
        <w:rPr>
          <w:rFonts w:cs="Calibri"/>
          <w:b/>
          <w:bCs/>
          <w:sz w:val="20"/>
          <w:szCs w:val="20"/>
        </w:rPr>
        <w:t>12:15-13:00</w:t>
      </w:r>
      <w:r>
        <w:rPr>
          <w:rFonts w:cs="Calibri"/>
          <w:b/>
          <w:bCs/>
          <w:sz w:val="20"/>
          <w:szCs w:val="20"/>
        </w:rPr>
        <w:tab/>
      </w:r>
      <w:r w:rsidRPr="00CD12C4">
        <w:rPr>
          <w:rFonts w:cs="Calibri"/>
          <w:b/>
          <w:bCs/>
          <w:sz w:val="20"/>
          <w:szCs w:val="20"/>
        </w:rPr>
        <w:t>Resourcing the treaty body system: Efficient and Effective Functioning of the Treaty Body System</w:t>
      </w:r>
      <w:r w:rsidRPr="006102F1">
        <w:rPr>
          <w:rFonts w:cs="Calibri"/>
          <w:b/>
          <w:bCs/>
          <w:sz w:val="20"/>
          <w:szCs w:val="20"/>
        </w:rPr>
        <w:t xml:space="preserve"> </w:t>
      </w:r>
      <w:r w:rsidRPr="00CD12C4">
        <w:rPr>
          <w:rFonts w:cs="Calibri"/>
          <w:bCs/>
          <w:i/>
          <w:sz w:val="20"/>
          <w:szCs w:val="20"/>
        </w:rPr>
        <w:t>(continued)</w:t>
      </w:r>
    </w:p>
    <w:p w:rsidR="009D38C9" w:rsidRDefault="009D38C9" w:rsidP="009D38C9">
      <w:pPr>
        <w:spacing w:line="240" w:lineRule="auto"/>
        <w:jc w:val="both"/>
        <w:rPr>
          <w:rFonts w:cs="Calibri"/>
          <w:b/>
          <w:sz w:val="20"/>
          <w:szCs w:val="20"/>
        </w:rPr>
      </w:pPr>
      <w:r w:rsidRPr="00706AE1">
        <w:rPr>
          <w:rFonts w:cs="Calibri"/>
          <w:b/>
          <w:bCs/>
          <w:sz w:val="20"/>
          <w:szCs w:val="20"/>
        </w:rPr>
        <w:t>14:15-15:00</w:t>
      </w:r>
      <w:r w:rsidRPr="00706AE1">
        <w:rPr>
          <w:rFonts w:cs="Calibri"/>
          <w:b/>
          <w:bCs/>
          <w:sz w:val="20"/>
          <w:szCs w:val="20"/>
        </w:rPr>
        <w:tab/>
      </w:r>
      <w:r w:rsidRPr="00706AE1">
        <w:rPr>
          <w:rFonts w:cs="Calibri"/>
          <w:b/>
          <w:bCs/>
          <w:color w:val="000000"/>
          <w:sz w:val="20"/>
          <w:szCs w:val="20"/>
        </w:rPr>
        <w:t xml:space="preserve">Projection of a video: “The Treaty Bodies: Bringing Human Rights Home” </w:t>
      </w:r>
      <w:r w:rsidRPr="006102F1">
        <w:rPr>
          <w:rFonts w:cs="Calibri"/>
          <w:b/>
          <w:sz w:val="20"/>
          <w:szCs w:val="20"/>
        </w:rPr>
        <w:t xml:space="preserve"> </w:t>
      </w:r>
    </w:p>
    <w:p w:rsidR="009D38C9" w:rsidRPr="00CD12C4" w:rsidRDefault="009D38C9" w:rsidP="009D38C9">
      <w:pPr>
        <w:spacing w:line="240" w:lineRule="auto"/>
        <w:ind w:left="1440" w:hanging="1440"/>
        <w:jc w:val="both"/>
        <w:rPr>
          <w:rFonts w:cs="Calibri"/>
          <w:bCs/>
          <w:sz w:val="20"/>
          <w:szCs w:val="20"/>
        </w:rPr>
      </w:pPr>
      <w:r w:rsidRPr="006102F1">
        <w:rPr>
          <w:rFonts w:cs="Calibri"/>
          <w:b/>
          <w:sz w:val="20"/>
          <w:szCs w:val="20"/>
        </w:rPr>
        <w:t>15:00-18:00</w:t>
      </w:r>
      <w:r w:rsidRPr="006102F1">
        <w:rPr>
          <w:rFonts w:cs="Calibri"/>
          <w:b/>
          <w:bCs/>
          <w:sz w:val="20"/>
          <w:szCs w:val="20"/>
        </w:rPr>
        <w:t xml:space="preserve"> </w:t>
      </w:r>
      <w:r w:rsidRPr="006102F1">
        <w:rPr>
          <w:rFonts w:cs="Calibri"/>
          <w:b/>
          <w:bCs/>
          <w:sz w:val="20"/>
          <w:szCs w:val="20"/>
        </w:rPr>
        <w:tab/>
      </w:r>
      <w:r w:rsidRPr="00CD12C4">
        <w:rPr>
          <w:rFonts w:cs="Calibri"/>
          <w:b/>
          <w:bCs/>
          <w:sz w:val="20"/>
          <w:szCs w:val="20"/>
        </w:rPr>
        <w:t>Resourcing the treaty body system: Efficient and Effective Functioning of the Treaty Body System</w:t>
      </w:r>
      <w:r w:rsidRPr="006102F1">
        <w:rPr>
          <w:rFonts w:cs="Calibri"/>
          <w:b/>
          <w:bCs/>
          <w:sz w:val="20"/>
          <w:szCs w:val="20"/>
        </w:rPr>
        <w:t xml:space="preserve"> </w:t>
      </w:r>
      <w:r w:rsidRPr="00CD12C4">
        <w:rPr>
          <w:rFonts w:cs="Calibri"/>
          <w:bCs/>
          <w:i/>
          <w:sz w:val="20"/>
          <w:szCs w:val="20"/>
        </w:rPr>
        <w:t>(continued)</w:t>
      </w:r>
    </w:p>
    <w:p w:rsidR="009D38C9" w:rsidRPr="0039617F" w:rsidRDefault="009D38C9" w:rsidP="009D38C9">
      <w:pPr>
        <w:autoSpaceDE w:val="0"/>
        <w:autoSpaceDN w:val="0"/>
        <w:adjustRightInd w:val="0"/>
        <w:spacing w:after="0" w:line="240" w:lineRule="auto"/>
        <w:rPr>
          <w:rFonts w:cs="Calibri"/>
          <w:color w:val="000000"/>
          <w:sz w:val="20"/>
          <w:szCs w:val="20"/>
        </w:rPr>
      </w:pPr>
      <w:r>
        <w:rPr>
          <w:rFonts w:cs="Calibri"/>
          <w:b/>
          <w:bCs/>
          <w:sz w:val="20"/>
          <w:szCs w:val="20"/>
        </w:rPr>
        <w:tab/>
      </w:r>
      <w:r w:rsidRPr="00CD12C4">
        <w:rPr>
          <w:rFonts w:cs="Calibri"/>
          <w:sz w:val="20"/>
          <w:szCs w:val="20"/>
          <w:u w:val="single"/>
        </w:rPr>
        <w:t>Moderator:</w:t>
      </w:r>
      <w:r w:rsidRPr="00CD12C4">
        <w:rPr>
          <w:rFonts w:cs="Calibri"/>
          <w:sz w:val="20"/>
          <w:szCs w:val="20"/>
        </w:rPr>
        <w:t xml:space="preserve"> </w:t>
      </w:r>
      <w:r w:rsidRPr="0039617F">
        <w:rPr>
          <w:rFonts w:cs="Calibri"/>
          <w:color w:val="000000"/>
          <w:sz w:val="20"/>
          <w:szCs w:val="20"/>
        </w:rPr>
        <w:t xml:space="preserve">H.E. Md. Mustafizur Rahman, </w:t>
      </w:r>
    </w:p>
    <w:p w:rsidR="009D38C9" w:rsidRPr="00CD12C4" w:rsidRDefault="009D38C9" w:rsidP="009D38C9">
      <w:pPr>
        <w:autoSpaceDE w:val="0"/>
        <w:autoSpaceDN w:val="0"/>
        <w:adjustRightInd w:val="0"/>
        <w:spacing w:after="0" w:line="240" w:lineRule="auto"/>
        <w:rPr>
          <w:rFonts w:eastAsia="ArialNarrow" w:cs="Calibri"/>
          <w:sz w:val="20"/>
          <w:szCs w:val="20"/>
        </w:rPr>
      </w:pPr>
      <w:r>
        <w:rPr>
          <w:rFonts w:cs="Calibri"/>
          <w:color w:val="000000"/>
          <w:sz w:val="20"/>
          <w:szCs w:val="20"/>
        </w:rPr>
        <w:tab/>
      </w:r>
      <w:r w:rsidRPr="0039617F">
        <w:rPr>
          <w:rFonts w:cs="Calibri"/>
          <w:color w:val="000000"/>
          <w:sz w:val="20"/>
          <w:szCs w:val="20"/>
        </w:rPr>
        <w:t>Deputy Permanent Representative, of the People's Republic of Bangladesh</w:t>
      </w:r>
    </w:p>
    <w:p w:rsidR="009D38C9" w:rsidRDefault="009D38C9" w:rsidP="009D38C9">
      <w:pPr>
        <w:spacing w:line="240" w:lineRule="auto"/>
        <w:rPr>
          <w:rFonts w:cs="Calibri"/>
          <w:color w:val="000000"/>
          <w:sz w:val="20"/>
          <w:szCs w:val="20"/>
        </w:rPr>
      </w:pPr>
      <w:r w:rsidRPr="00CD12C4">
        <w:rPr>
          <w:rFonts w:eastAsia="ArialNarrow" w:cs="Calibri"/>
          <w:sz w:val="20"/>
          <w:szCs w:val="20"/>
        </w:rPr>
        <w:tab/>
      </w:r>
      <w:r w:rsidRPr="00CD12C4">
        <w:rPr>
          <w:rFonts w:cs="Calibri"/>
          <w:bCs/>
          <w:sz w:val="20"/>
          <w:szCs w:val="20"/>
          <w:u w:val="single"/>
        </w:rPr>
        <w:t>Resource Persons/Treaty body experts:</w:t>
      </w:r>
      <w:r w:rsidRPr="00CD12C4">
        <w:rPr>
          <w:rFonts w:cs="Calibri"/>
          <w:color w:val="000000"/>
          <w:sz w:val="20"/>
          <w:szCs w:val="20"/>
        </w:rPr>
        <w:t xml:space="preserve"> Ms. Christine Chanet, Mr. Gerald </w:t>
      </w:r>
      <w:r>
        <w:rPr>
          <w:rFonts w:cs="Calibri"/>
          <w:color w:val="000000"/>
          <w:sz w:val="20"/>
          <w:szCs w:val="20"/>
        </w:rPr>
        <w:tab/>
      </w:r>
      <w:r>
        <w:rPr>
          <w:rFonts w:cs="Calibri"/>
          <w:color w:val="000000"/>
          <w:sz w:val="20"/>
          <w:szCs w:val="20"/>
        </w:rPr>
        <w:tab/>
        <w:t xml:space="preserve">Neuman and </w:t>
      </w:r>
      <w:r w:rsidRPr="00CD12C4">
        <w:rPr>
          <w:rFonts w:cs="Calibri"/>
          <w:color w:val="000000"/>
          <w:sz w:val="20"/>
          <w:szCs w:val="20"/>
        </w:rPr>
        <w:t>Mr. Walter Kaelin (members of the HR Committee)</w:t>
      </w:r>
    </w:p>
    <w:p w:rsidR="009D38C9" w:rsidRDefault="009D38C9" w:rsidP="009D38C9">
      <w:pPr>
        <w:spacing w:line="240" w:lineRule="auto"/>
        <w:rPr>
          <w:rFonts w:cs="Calibri"/>
          <w:bCs/>
          <w:sz w:val="20"/>
          <w:szCs w:val="20"/>
        </w:rPr>
      </w:pPr>
      <w:r>
        <w:rPr>
          <w:rFonts w:cs="Calibri"/>
          <w:color w:val="000000"/>
          <w:sz w:val="20"/>
          <w:szCs w:val="20"/>
        </w:rPr>
        <w:tab/>
      </w:r>
      <w:r w:rsidRPr="00153B94">
        <w:rPr>
          <w:rFonts w:cs="Calibri"/>
          <w:bCs/>
          <w:sz w:val="20"/>
          <w:szCs w:val="20"/>
        </w:rPr>
        <w:t xml:space="preserve">Presentation by </w:t>
      </w:r>
      <w:r w:rsidRPr="00153B94">
        <w:rPr>
          <w:rFonts w:cs="Calibri"/>
          <w:color w:val="000000"/>
          <w:sz w:val="20"/>
          <w:szCs w:val="20"/>
        </w:rPr>
        <w:t>Ms. Kira Glover Krugl</w:t>
      </w:r>
      <w:r>
        <w:rPr>
          <w:rFonts w:cs="Calibri"/>
          <w:color w:val="000000"/>
          <w:sz w:val="20"/>
          <w:szCs w:val="20"/>
        </w:rPr>
        <w:t xml:space="preserve">ikova Executive Officer and </w:t>
      </w:r>
      <w:r>
        <w:rPr>
          <w:rFonts w:cs="Calibri"/>
          <w:bCs/>
          <w:sz w:val="20"/>
          <w:szCs w:val="20"/>
        </w:rPr>
        <w:t>Ms. Shivona Tavares-</w:t>
      </w:r>
      <w:r>
        <w:rPr>
          <w:rFonts w:cs="Calibri"/>
          <w:bCs/>
          <w:sz w:val="20"/>
          <w:szCs w:val="20"/>
        </w:rPr>
        <w:tab/>
        <w:t xml:space="preserve">Walsh, Chief Document Management Section, </w:t>
      </w:r>
      <w:r w:rsidRPr="00153B94">
        <w:rPr>
          <w:rFonts w:cs="Calibri"/>
          <w:color w:val="000000"/>
          <w:sz w:val="20"/>
          <w:szCs w:val="20"/>
        </w:rPr>
        <w:t>Division of Conference Ma</w:t>
      </w:r>
      <w:r>
        <w:rPr>
          <w:rFonts w:cs="Calibri"/>
          <w:color w:val="000000"/>
          <w:sz w:val="20"/>
          <w:szCs w:val="20"/>
        </w:rPr>
        <w:t xml:space="preserve">nagement via video </w:t>
      </w:r>
      <w:r>
        <w:rPr>
          <w:rFonts w:cs="Calibri"/>
          <w:color w:val="000000"/>
          <w:sz w:val="20"/>
          <w:szCs w:val="20"/>
        </w:rPr>
        <w:tab/>
        <w:t>link</w:t>
      </w:r>
      <w:r w:rsidRPr="00153B94">
        <w:rPr>
          <w:rFonts w:cs="Calibri"/>
          <w:bCs/>
          <w:sz w:val="20"/>
          <w:szCs w:val="20"/>
        </w:rPr>
        <w:t xml:space="preserve">, on the challenges of supporting the treaty bodies and potential variations/ alternatives </w:t>
      </w:r>
      <w:r>
        <w:rPr>
          <w:rFonts w:cs="Calibri"/>
          <w:bCs/>
          <w:sz w:val="20"/>
          <w:szCs w:val="20"/>
        </w:rPr>
        <w:tab/>
      </w:r>
      <w:r w:rsidRPr="00153B94">
        <w:rPr>
          <w:rFonts w:cs="Calibri"/>
          <w:bCs/>
          <w:sz w:val="20"/>
          <w:szCs w:val="20"/>
        </w:rPr>
        <w:t>of conference servicing support</w:t>
      </w:r>
      <w:r>
        <w:rPr>
          <w:rFonts w:cs="Calibri"/>
          <w:bCs/>
          <w:sz w:val="20"/>
          <w:szCs w:val="20"/>
        </w:rPr>
        <w:t xml:space="preserve">. </w:t>
      </w:r>
    </w:p>
    <w:p w:rsidR="009D38C9" w:rsidRPr="006102F1" w:rsidRDefault="009D38C9" w:rsidP="009D38C9">
      <w:pPr>
        <w:spacing w:line="240" w:lineRule="auto"/>
        <w:rPr>
          <w:rFonts w:cs="Calibri"/>
          <w:bCs/>
          <w:sz w:val="20"/>
          <w:szCs w:val="20"/>
        </w:rPr>
      </w:pPr>
      <w:r>
        <w:rPr>
          <w:rFonts w:cs="Calibri"/>
          <w:bCs/>
          <w:sz w:val="20"/>
          <w:szCs w:val="20"/>
        </w:rPr>
        <w:tab/>
      </w:r>
      <w:r>
        <w:rPr>
          <w:rFonts w:cs="Calibri"/>
          <w:bCs/>
          <w:sz w:val="20"/>
          <w:szCs w:val="20"/>
        </w:rPr>
        <w:tab/>
        <w:t xml:space="preserve"> </w:t>
      </w:r>
      <w:r w:rsidRPr="006102F1">
        <w:rPr>
          <w:rFonts w:cs="Calibri"/>
          <w:bCs/>
          <w:sz w:val="20"/>
          <w:szCs w:val="20"/>
        </w:rPr>
        <w:t>Issues for discussions including:</w:t>
      </w:r>
    </w:p>
    <w:p w:rsidR="009D38C9" w:rsidRPr="006102F1" w:rsidRDefault="009D38C9" w:rsidP="009D38C9">
      <w:pPr>
        <w:spacing w:after="0" w:line="240" w:lineRule="auto"/>
        <w:ind w:left="1418"/>
        <w:contextualSpacing/>
        <w:jc w:val="both"/>
        <w:rPr>
          <w:rFonts w:cs="Calibri"/>
          <w:b/>
          <w:sz w:val="20"/>
          <w:szCs w:val="20"/>
        </w:rPr>
      </w:pPr>
    </w:p>
    <w:p w:rsidR="009D38C9" w:rsidRDefault="009D38C9" w:rsidP="009D38C9">
      <w:pPr>
        <w:numPr>
          <w:ilvl w:val="0"/>
          <w:numId w:val="10"/>
        </w:numPr>
        <w:spacing w:after="0" w:line="240" w:lineRule="auto"/>
        <w:ind w:left="1418" w:firstLine="0"/>
        <w:contextualSpacing/>
        <w:jc w:val="both"/>
        <w:rPr>
          <w:rFonts w:cs="Calibri"/>
          <w:sz w:val="20"/>
          <w:szCs w:val="20"/>
        </w:rPr>
      </w:pPr>
      <w:r w:rsidRPr="00E45C9E">
        <w:rPr>
          <w:rFonts w:cs="Calibri"/>
          <w:sz w:val="20"/>
          <w:szCs w:val="20"/>
        </w:rPr>
        <w:t>Proposals for more-cost efficient working methods that do not compromise the quality of the reporting and implementation process</w:t>
      </w:r>
    </w:p>
    <w:p w:rsidR="009D38C9" w:rsidRPr="00E45C9E" w:rsidRDefault="009D38C9" w:rsidP="009D38C9">
      <w:pPr>
        <w:spacing w:after="0" w:line="240" w:lineRule="auto"/>
        <w:ind w:left="1418"/>
        <w:contextualSpacing/>
        <w:jc w:val="both"/>
        <w:rPr>
          <w:rFonts w:cs="Calibri"/>
          <w:sz w:val="20"/>
          <w:szCs w:val="20"/>
        </w:rPr>
      </w:pPr>
    </w:p>
    <w:p w:rsidR="009D38C9" w:rsidRPr="006102F1" w:rsidRDefault="009D38C9" w:rsidP="009D38C9">
      <w:pPr>
        <w:numPr>
          <w:ilvl w:val="0"/>
          <w:numId w:val="10"/>
        </w:numPr>
        <w:spacing w:after="0" w:line="240" w:lineRule="auto"/>
        <w:ind w:left="1418" w:firstLine="0"/>
        <w:contextualSpacing/>
        <w:jc w:val="both"/>
        <w:rPr>
          <w:rFonts w:cs="Calibri"/>
          <w:sz w:val="20"/>
          <w:szCs w:val="20"/>
        </w:rPr>
      </w:pPr>
      <w:r w:rsidRPr="006102F1">
        <w:rPr>
          <w:rFonts w:cs="Calibri"/>
          <w:color w:val="000000"/>
          <w:sz w:val="20"/>
          <w:szCs w:val="20"/>
        </w:rPr>
        <w:t xml:space="preserve">Proposals for savings: limitation of pages for all treaty body documentation, rationalized reporting, </w:t>
      </w:r>
      <w:r w:rsidRPr="006102F1">
        <w:rPr>
          <w:rFonts w:cs="Calibri"/>
          <w:bCs/>
          <w:color w:val="000000"/>
          <w:sz w:val="20"/>
          <w:szCs w:val="20"/>
        </w:rPr>
        <w:t>adjusting summary record requirements</w:t>
      </w:r>
    </w:p>
    <w:p w:rsidR="009D38C9" w:rsidRDefault="009D38C9" w:rsidP="009D38C9">
      <w:pPr>
        <w:spacing w:line="240" w:lineRule="auto"/>
        <w:jc w:val="both"/>
        <w:rPr>
          <w:rFonts w:cs="Calibri"/>
          <w:b/>
          <w:sz w:val="20"/>
          <w:szCs w:val="20"/>
          <w:highlight w:val="yellow"/>
        </w:rPr>
      </w:pPr>
    </w:p>
    <w:p w:rsidR="009D38C9" w:rsidRPr="006102F1" w:rsidRDefault="009D38C9" w:rsidP="009D38C9">
      <w:pPr>
        <w:spacing w:line="240" w:lineRule="auto"/>
        <w:jc w:val="both"/>
        <w:rPr>
          <w:rFonts w:cs="Calibri"/>
          <w:b/>
          <w:bCs/>
          <w:sz w:val="20"/>
          <w:szCs w:val="20"/>
        </w:rPr>
      </w:pPr>
      <w:r w:rsidRPr="005C586F">
        <w:rPr>
          <w:rFonts w:cs="Calibri"/>
          <w:b/>
          <w:sz w:val="20"/>
          <w:szCs w:val="20"/>
        </w:rPr>
        <w:t>Tuesday, 3 April 2012 - North Lawn Building, Conference Room 3</w:t>
      </w:r>
    </w:p>
    <w:p w:rsidR="009D38C9" w:rsidRPr="00CD12C4" w:rsidRDefault="009D38C9" w:rsidP="009D38C9">
      <w:pPr>
        <w:spacing w:line="240" w:lineRule="auto"/>
        <w:jc w:val="both"/>
        <w:rPr>
          <w:rFonts w:cs="Calibri"/>
          <w:b/>
          <w:bCs/>
          <w:sz w:val="20"/>
          <w:szCs w:val="20"/>
        </w:rPr>
      </w:pPr>
      <w:r w:rsidRPr="006102F1">
        <w:rPr>
          <w:rFonts w:cs="Calibri"/>
          <w:b/>
          <w:bCs/>
          <w:sz w:val="20"/>
          <w:szCs w:val="20"/>
        </w:rPr>
        <w:t>10:00-13:00</w:t>
      </w:r>
      <w:r w:rsidRPr="006102F1">
        <w:rPr>
          <w:rFonts w:cs="Calibri"/>
          <w:b/>
          <w:bCs/>
          <w:sz w:val="20"/>
          <w:szCs w:val="20"/>
        </w:rPr>
        <w:tab/>
      </w:r>
      <w:r w:rsidRPr="00CD12C4">
        <w:rPr>
          <w:rFonts w:cs="Calibri"/>
          <w:b/>
          <w:bCs/>
          <w:sz w:val="20"/>
          <w:szCs w:val="20"/>
        </w:rPr>
        <w:t>Strengthening the membership of treaty bodies</w:t>
      </w:r>
    </w:p>
    <w:p w:rsidR="009D38C9" w:rsidRPr="002776AC" w:rsidRDefault="009D38C9" w:rsidP="009D38C9">
      <w:pPr>
        <w:spacing w:after="0" w:line="240" w:lineRule="auto"/>
        <w:ind w:left="1418" w:firstLine="22"/>
        <w:contextualSpacing/>
        <w:jc w:val="both"/>
        <w:rPr>
          <w:rFonts w:cs="Calibri"/>
          <w:sz w:val="20"/>
          <w:szCs w:val="20"/>
        </w:rPr>
      </w:pPr>
      <w:r w:rsidRPr="00CD12C4">
        <w:rPr>
          <w:rFonts w:cs="Calibri"/>
          <w:sz w:val="20"/>
          <w:szCs w:val="20"/>
          <w:u w:val="single"/>
        </w:rPr>
        <w:t>Moderator:</w:t>
      </w:r>
      <w:r w:rsidRPr="00CD12C4">
        <w:rPr>
          <w:rFonts w:cs="Calibri"/>
          <w:sz w:val="20"/>
          <w:szCs w:val="20"/>
        </w:rPr>
        <w:t xml:space="preserve"> </w:t>
      </w:r>
      <w:r w:rsidRPr="002776AC">
        <w:rPr>
          <w:rFonts w:cs="Calibri"/>
          <w:bCs/>
          <w:color w:val="000000"/>
          <w:sz w:val="20"/>
          <w:szCs w:val="20"/>
        </w:rPr>
        <w:t xml:space="preserve">M. Bertin Babadoudou, First Counselor, Permanent </w:t>
      </w:r>
      <w:r>
        <w:rPr>
          <w:rFonts w:cs="Calibri"/>
          <w:bCs/>
          <w:color w:val="000000"/>
          <w:sz w:val="20"/>
          <w:szCs w:val="20"/>
        </w:rPr>
        <w:t>Mission</w:t>
      </w:r>
      <w:r w:rsidRPr="002776AC">
        <w:rPr>
          <w:rFonts w:cs="Calibri"/>
          <w:bCs/>
          <w:color w:val="000000"/>
          <w:sz w:val="20"/>
          <w:szCs w:val="20"/>
        </w:rPr>
        <w:t xml:space="preserve"> of </w:t>
      </w:r>
      <w:r>
        <w:rPr>
          <w:rFonts w:cs="Calibri"/>
          <w:bCs/>
          <w:color w:val="000000"/>
          <w:sz w:val="20"/>
          <w:szCs w:val="20"/>
        </w:rPr>
        <w:t xml:space="preserve">the Republic of </w:t>
      </w:r>
      <w:r w:rsidRPr="002776AC">
        <w:rPr>
          <w:rFonts w:cs="Calibri"/>
          <w:bCs/>
          <w:color w:val="000000"/>
          <w:sz w:val="20"/>
          <w:szCs w:val="20"/>
        </w:rPr>
        <w:t>Benin to the United Nations</w:t>
      </w:r>
    </w:p>
    <w:p w:rsidR="009D38C9" w:rsidRPr="00CD12C4" w:rsidRDefault="009D38C9" w:rsidP="009D38C9">
      <w:pPr>
        <w:spacing w:after="0" w:line="240" w:lineRule="auto"/>
        <w:ind w:left="720" w:firstLine="698"/>
        <w:contextualSpacing/>
        <w:jc w:val="both"/>
        <w:rPr>
          <w:rFonts w:cs="Calibri"/>
          <w:sz w:val="20"/>
          <w:szCs w:val="20"/>
        </w:rPr>
      </w:pPr>
    </w:p>
    <w:p w:rsidR="009D38C9" w:rsidRPr="00CD12C4" w:rsidRDefault="009D38C9" w:rsidP="009D38C9">
      <w:pPr>
        <w:spacing w:after="0" w:line="240" w:lineRule="auto"/>
        <w:ind w:left="1418"/>
        <w:jc w:val="both"/>
        <w:rPr>
          <w:rFonts w:cs="Calibri"/>
          <w:sz w:val="20"/>
          <w:szCs w:val="20"/>
        </w:rPr>
      </w:pPr>
      <w:r w:rsidRPr="00CD12C4">
        <w:rPr>
          <w:rFonts w:cs="Calibri"/>
          <w:bCs/>
          <w:sz w:val="20"/>
          <w:szCs w:val="20"/>
          <w:u w:val="single"/>
        </w:rPr>
        <w:t>Resource Persons/Treaty body experts:</w:t>
      </w:r>
      <w:r w:rsidRPr="00CD12C4">
        <w:rPr>
          <w:rFonts w:cs="Calibri"/>
          <w:bCs/>
          <w:sz w:val="20"/>
          <w:szCs w:val="20"/>
        </w:rPr>
        <w:t xml:space="preserve"> </w:t>
      </w:r>
      <w:r w:rsidRPr="00CD12C4">
        <w:rPr>
          <w:rFonts w:cs="Calibri"/>
          <w:color w:val="000000"/>
          <w:sz w:val="20"/>
          <w:szCs w:val="20"/>
        </w:rPr>
        <w:t>Ms. Fatima-Binta Victoira Dah (CERD) and Mr. Michael O'Flaherty (HR Committee)</w:t>
      </w:r>
    </w:p>
    <w:p w:rsidR="009D38C9" w:rsidRPr="00E107ED" w:rsidRDefault="009D38C9" w:rsidP="009D38C9">
      <w:pPr>
        <w:spacing w:after="0" w:line="240" w:lineRule="auto"/>
        <w:ind w:left="1418"/>
        <w:jc w:val="both"/>
        <w:rPr>
          <w:rFonts w:cs="Calibri"/>
          <w:bCs/>
          <w:sz w:val="20"/>
          <w:szCs w:val="20"/>
        </w:rPr>
      </w:pPr>
    </w:p>
    <w:p w:rsidR="009D38C9" w:rsidRPr="006102F1" w:rsidRDefault="009D38C9" w:rsidP="009D38C9">
      <w:pPr>
        <w:spacing w:after="0" w:line="240" w:lineRule="auto"/>
        <w:ind w:left="1418"/>
        <w:jc w:val="both"/>
        <w:rPr>
          <w:rFonts w:cs="Calibri"/>
          <w:bCs/>
          <w:sz w:val="20"/>
          <w:szCs w:val="20"/>
        </w:rPr>
      </w:pPr>
      <w:r w:rsidRPr="00E107ED">
        <w:rPr>
          <w:rFonts w:cs="Calibri"/>
          <w:bCs/>
          <w:sz w:val="20"/>
          <w:szCs w:val="20"/>
        </w:rPr>
        <w:t>Issues for discussions including:</w:t>
      </w:r>
    </w:p>
    <w:p w:rsidR="009D38C9" w:rsidRPr="006102F1" w:rsidRDefault="009D38C9" w:rsidP="009D38C9">
      <w:pPr>
        <w:spacing w:after="0" w:line="240" w:lineRule="auto"/>
        <w:ind w:left="1418"/>
        <w:jc w:val="both"/>
        <w:rPr>
          <w:rFonts w:cs="Calibri"/>
          <w:bCs/>
          <w:sz w:val="20"/>
          <w:szCs w:val="20"/>
        </w:rPr>
      </w:pPr>
    </w:p>
    <w:p w:rsidR="009D38C9" w:rsidRPr="006102F1" w:rsidRDefault="009D38C9" w:rsidP="009D38C9">
      <w:pPr>
        <w:numPr>
          <w:ilvl w:val="0"/>
          <w:numId w:val="9"/>
        </w:numPr>
        <w:spacing w:line="240" w:lineRule="auto"/>
        <w:ind w:left="1418" w:firstLine="0"/>
        <w:contextualSpacing/>
        <w:jc w:val="both"/>
        <w:rPr>
          <w:rFonts w:cs="Calibri"/>
          <w:bCs/>
          <w:sz w:val="20"/>
          <w:szCs w:val="20"/>
        </w:rPr>
      </w:pPr>
      <w:r w:rsidRPr="006102F1">
        <w:rPr>
          <w:rFonts w:cs="Calibri"/>
          <w:bCs/>
          <w:sz w:val="20"/>
          <w:szCs w:val="20"/>
        </w:rPr>
        <w:t>Dissemination of information to candidates on the election process, practical information and required workload</w:t>
      </w:r>
    </w:p>
    <w:p w:rsidR="009D38C9" w:rsidRPr="006102F1" w:rsidRDefault="009D38C9" w:rsidP="009D38C9">
      <w:pPr>
        <w:spacing w:line="240" w:lineRule="auto"/>
        <w:ind w:left="1418"/>
        <w:contextualSpacing/>
        <w:jc w:val="both"/>
        <w:rPr>
          <w:rFonts w:cs="Calibri"/>
          <w:bCs/>
          <w:sz w:val="20"/>
          <w:szCs w:val="20"/>
        </w:rPr>
      </w:pPr>
    </w:p>
    <w:p w:rsidR="009D38C9" w:rsidRPr="006102F1" w:rsidRDefault="009D38C9" w:rsidP="009D38C9">
      <w:pPr>
        <w:numPr>
          <w:ilvl w:val="0"/>
          <w:numId w:val="9"/>
        </w:numPr>
        <w:spacing w:line="240" w:lineRule="auto"/>
        <w:ind w:left="1418" w:firstLine="0"/>
        <w:contextualSpacing/>
        <w:jc w:val="both"/>
        <w:rPr>
          <w:rFonts w:cs="Calibri"/>
          <w:bCs/>
          <w:sz w:val="20"/>
          <w:szCs w:val="20"/>
        </w:rPr>
      </w:pPr>
      <w:r w:rsidRPr="006102F1">
        <w:rPr>
          <w:rFonts w:cs="Calibri"/>
          <w:bCs/>
          <w:sz w:val="20"/>
          <w:szCs w:val="20"/>
        </w:rPr>
        <w:t>Good practices in the nomination of candidates to the treaty body system</w:t>
      </w:r>
    </w:p>
    <w:p w:rsidR="009D38C9" w:rsidRPr="006102F1" w:rsidRDefault="009D38C9" w:rsidP="009D38C9">
      <w:pPr>
        <w:spacing w:line="240" w:lineRule="auto"/>
        <w:ind w:left="720"/>
        <w:jc w:val="both"/>
        <w:rPr>
          <w:rFonts w:cs="Calibri"/>
          <w:b/>
          <w:sz w:val="20"/>
          <w:szCs w:val="20"/>
        </w:rPr>
      </w:pPr>
    </w:p>
    <w:p w:rsidR="009D38C9" w:rsidRPr="00CD12C4" w:rsidRDefault="009D38C9" w:rsidP="009D38C9">
      <w:pPr>
        <w:spacing w:line="240" w:lineRule="auto"/>
        <w:ind w:left="1418" w:hanging="1418"/>
        <w:jc w:val="both"/>
        <w:rPr>
          <w:rFonts w:cs="Calibri"/>
          <w:b/>
          <w:bCs/>
          <w:sz w:val="20"/>
          <w:szCs w:val="20"/>
        </w:rPr>
      </w:pPr>
      <w:r w:rsidRPr="006102F1">
        <w:rPr>
          <w:rFonts w:cs="Calibri"/>
          <w:b/>
          <w:sz w:val="20"/>
          <w:szCs w:val="20"/>
        </w:rPr>
        <w:t>15:00-1</w:t>
      </w:r>
      <w:r>
        <w:rPr>
          <w:rFonts w:cs="Calibri"/>
          <w:b/>
          <w:sz w:val="20"/>
          <w:szCs w:val="20"/>
        </w:rPr>
        <w:t>7:1</w:t>
      </w:r>
      <w:r w:rsidRPr="006102F1">
        <w:rPr>
          <w:rFonts w:cs="Calibri"/>
          <w:b/>
          <w:sz w:val="20"/>
          <w:szCs w:val="20"/>
        </w:rPr>
        <w:t xml:space="preserve">5 </w:t>
      </w:r>
      <w:r w:rsidRPr="006102F1">
        <w:rPr>
          <w:rFonts w:cs="Calibri"/>
          <w:b/>
          <w:sz w:val="20"/>
          <w:szCs w:val="20"/>
        </w:rPr>
        <w:tab/>
      </w:r>
      <w:r w:rsidRPr="00CD12C4">
        <w:rPr>
          <w:rFonts w:cs="Calibri"/>
          <w:b/>
          <w:bCs/>
          <w:sz w:val="20"/>
          <w:szCs w:val="20"/>
        </w:rPr>
        <w:t>Strengthening the preparation of States parties’ reports and the dialogue between States parties and the treaty bodies</w:t>
      </w:r>
    </w:p>
    <w:p w:rsidR="009D38C9" w:rsidRDefault="009D38C9" w:rsidP="009D38C9">
      <w:pPr>
        <w:spacing w:after="0" w:line="240" w:lineRule="auto"/>
        <w:ind w:left="1418" w:firstLine="22"/>
        <w:contextualSpacing/>
        <w:jc w:val="both"/>
        <w:rPr>
          <w:rFonts w:cs="Calibri"/>
          <w:sz w:val="20"/>
          <w:szCs w:val="20"/>
        </w:rPr>
      </w:pPr>
      <w:r w:rsidRPr="00744A4D">
        <w:rPr>
          <w:rFonts w:cs="Calibri"/>
          <w:bCs/>
          <w:sz w:val="20"/>
          <w:szCs w:val="20"/>
          <w:u w:val="single"/>
        </w:rPr>
        <w:t>M</w:t>
      </w:r>
      <w:r w:rsidRPr="00744A4D">
        <w:rPr>
          <w:rFonts w:cs="Calibri"/>
          <w:sz w:val="20"/>
          <w:szCs w:val="20"/>
          <w:u w:val="single"/>
        </w:rPr>
        <w:t>oderator:</w:t>
      </w:r>
      <w:r w:rsidRPr="00744A4D">
        <w:rPr>
          <w:rFonts w:cs="Calibri"/>
          <w:sz w:val="20"/>
          <w:szCs w:val="20"/>
        </w:rPr>
        <w:t xml:space="preserve"> </w:t>
      </w:r>
      <w:r>
        <w:rPr>
          <w:rFonts w:cs="Calibri"/>
          <w:sz w:val="20"/>
          <w:szCs w:val="20"/>
        </w:rPr>
        <w:t>H.E</w:t>
      </w:r>
      <w:r w:rsidRPr="008F617A">
        <w:rPr>
          <w:rFonts w:cs="Calibri"/>
          <w:sz w:val="20"/>
          <w:szCs w:val="20"/>
        </w:rPr>
        <w:t xml:space="preserve"> Paul R. Seger, Permanent Representative of Switzerland to the United Nations</w:t>
      </w:r>
    </w:p>
    <w:p w:rsidR="009D38C9" w:rsidRDefault="009D38C9" w:rsidP="009D38C9">
      <w:pPr>
        <w:spacing w:after="0" w:line="240" w:lineRule="auto"/>
        <w:ind w:left="1418" w:firstLine="22"/>
        <w:contextualSpacing/>
        <w:jc w:val="both"/>
        <w:rPr>
          <w:rFonts w:cs="Calibri"/>
          <w:sz w:val="20"/>
          <w:szCs w:val="20"/>
        </w:rPr>
      </w:pPr>
    </w:p>
    <w:p w:rsidR="009D38C9" w:rsidRPr="00CD12C4" w:rsidRDefault="009D38C9" w:rsidP="009D38C9">
      <w:pPr>
        <w:spacing w:line="240" w:lineRule="auto"/>
        <w:rPr>
          <w:rFonts w:cs="Calibri"/>
          <w:color w:val="000000"/>
          <w:sz w:val="20"/>
          <w:szCs w:val="20"/>
        </w:rPr>
      </w:pPr>
      <w:r w:rsidRPr="00CD12C4">
        <w:rPr>
          <w:rFonts w:cs="Calibri"/>
          <w:sz w:val="20"/>
          <w:szCs w:val="20"/>
        </w:rPr>
        <w:tab/>
      </w:r>
      <w:r w:rsidRPr="00CD12C4">
        <w:rPr>
          <w:rFonts w:cs="Calibri"/>
          <w:bCs/>
          <w:sz w:val="20"/>
          <w:szCs w:val="20"/>
          <w:u w:val="single"/>
        </w:rPr>
        <w:t>Resource Persons/Treaty body experts:</w:t>
      </w:r>
      <w:r w:rsidRPr="00CD12C4">
        <w:rPr>
          <w:rFonts w:cs="Calibri"/>
          <w:bCs/>
          <w:sz w:val="20"/>
          <w:szCs w:val="20"/>
        </w:rPr>
        <w:t xml:space="preserve"> </w:t>
      </w:r>
      <w:r w:rsidRPr="00CD12C4">
        <w:rPr>
          <w:rFonts w:cs="Calibri"/>
          <w:color w:val="000000"/>
          <w:sz w:val="20"/>
          <w:szCs w:val="20"/>
        </w:rPr>
        <w:t>Ms. Barbara Bailey (CEDAW), Ms. Felice Gaer (CAT),</w:t>
      </w:r>
      <w:r>
        <w:rPr>
          <w:rFonts w:cs="Calibri"/>
          <w:color w:val="000000"/>
          <w:sz w:val="20"/>
          <w:szCs w:val="20"/>
        </w:rPr>
        <w:t xml:space="preserve">                              </w:t>
      </w:r>
      <w:r>
        <w:rPr>
          <w:rFonts w:cs="Calibri"/>
          <w:color w:val="000000"/>
          <w:sz w:val="20"/>
          <w:szCs w:val="20"/>
        </w:rPr>
        <w:tab/>
      </w:r>
      <w:r w:rsidR="005F6815">
        <w:rPr>
          <w:rFonts w:cs="Calibri"/>
          <w:color w:val="000000"/>
          <w:sz w:val="20"/>
          <w:szCs w:val="20"/>
        </w:rPr>
        <w:t>Sir</w:t>
      </w:r>
      <w:r w:rsidRPr="00CD12C4">
        <w:rPr>
          <w:rFonts w:cs="Calibri"/>
          <w:color w:val="000000"/>
          <w:sz w:val="20"/>
          <w:szCs w:val="20"/>
        </w:rPr>
        <w:t xml:space="preserve"> Nigel Rodley (HR Committee),   Mr. Claudio Grossman (CAT)</w:t>
      </w:r>
    </w:p>
    <w:p w:rsidR="009D38C9" w:rsidRPr="006102F1" w:rsidRDefault="009D38C9" w:rsidP="009D38C9">
      <w:pPr>
        <w:spacing w:after="0" w:line="240" w:lineRule="auto"/>
        <w:ind w:left="1418"/>
        <w:jc w:val="both"/>
        <w:rPr>
          <w:rFonts w:cs="Calibri"/>
          <w:bCs/>
          <w:sz w:val="20"/>
          <w:szCs w:val="20"/>
        </w:rPr>
      </w:pPr>
      <w:r w:rsidRPr="006102F1">
        <w:rPr>
          <w:rFonts w:cs="Calibri"/>
          <w:bCs/>
          <w:sz w:val="20"/>
          <w:szCs w:val="20"/>
        </w:rPr>
        <w:t>Issues for discussions including:</w:t>
      </w:r>
    </w:p>
    <w:p w:rsidR="009D38C9" w:rsidRPr="006102F1" w:rsidRDefault="009D38C9" w:rsidP="009D38C9">
      <w:pPr>
        <w:spacing w:after="0" w:line="240" w:lineRule="auto"/>
        <w:ind w:left="1418"/>
        <w:jc w:val="both"/>
        <w:rPr>
          <w:rFonts w:cs="Calibri"/>
          <w:bCs/>
          <w:sz w:val="20"/>
          <w:szCs w:val="20"/>
        </w:rPr>
      </w:pPr>
    </w:p>
    <w:p w:rsidR="009D38C9" w:rsidRPr="006102F1" w:rsidRDefault="009D38C9" w:rsidP="009D38C9">
      <w:pPr>
        <w:spacing w:after="0" w:line="240" w:lineRule="auto"/>
        <w:ind w:left="698" w:firstLine="720"/>
        <w:jc w:val="both"/>
        <w:rPr>
          <w:rFonts w:cs="Calibri"/>
          <w:b/>
          <w:bCs/>
          <w:sz w:val="20"/>
          <w:szCs w:val="20"/>
        </w:rPr>
      </w:pPr>
      <w:r w:rsidRPr="006102F1">
        <w:rPr>
          <w:rFonts w:cs="Calibri"/>
          <w:b/>
          <w:bCs/>
          <w:sz w:val="20"/>
          <w:szCs w:val="20"/>
        </w:rPr>
        <w:t xml:space="preserve">Improved alignment and rationalization of treaty bodies working methods </w:t>
      </w:r>
    </w:p>
    <w:p w:rsidR="009D38C9" w:rsidRPr="006102F1" w:rsidRDefault="009D38C9" w:rsidP="009D38C9">
      <w:pPr>
        <w:spacing w:after="0" w:line="240" w:lineRule="auto"/>
        <w:ind w:left="1077"/>
        <w:jc w:val="both"/>
        <w:rPr>
          <w:rFonts w:ascii="Arial" w:hAnsi="Arial" w:cs="Arial"/>
          <w:b/>
          <w:sz w:val="20"/>
          <w:szCs w:val="20"/>
        </w:rPr>
      </w:pPr>
    </w:p>
    <w:p w:rsidR="009D38C9" w:rsidRPr="006102F1" w:rsidRDefault="009D38C9" w:rsidP="009D38C9">
      <w:pPr>
        <w:numPr>
          <w:ilvl w:val="0"/>
          <w:numId w:val="6"/>
        </w:numPr>
        <w:spacing w:after="0" w:line="240" w:lineRule="auto"/>
        <w:ind w:left="1418" w:firstLine="0"/>
        <w:jc w:val="both"/>
        <w:rPr>
          <w:rFonts w:cs="Calibri"/>
          <w:bCs/>
          <w:sz w:val="20"/>
          <w:szCs w:val="20"/>
        </w:rPr>
      </w:pPr>
      <w:r w:rsidRPr="006102F1">
        <w:rPr>
          <w:rFonts w:cs="Calibri"/>
          <w:bCs/>
          <w:sz w:val="20"/>
          <w:szCs w:val="20"/>
        </w:rPr>
        <w:t xml:space="preserve">Optional reporting procedures </w:t>
      </w:r>
    </w:p>
    <w:p w:rsidR="009D38C9" w:rsidRPr="006102F1" w:rsidRDefault="009D38C9" w:rsidP="009D38C9">
      <w:pPr>
        <w:numPr>
          <w:ilvl w:val="0"/>
          <w:numId w:val="6"/>
        </w:numPr>
        <w:spacing w:after="0" w:line="240" w:lineRule="auto"/>
        <w:ind w:left="1418" w:firstLine="0"/>
        <w:jc w:val="both"/>
        <w:rPr>
          <w:rFonts w:cs="Calibri"/>
          <w:bCs/>
          <w:sz w:val="20"/>
          <w:szCs w:val="20"/>
        </w:rPr>
      </w:pPr>
      <w:r w:rsidRPr="006102F1">
        <w:rPr>
          <w:rFonts w:cs="Calibri"/>
          <w:bCs/>
          <w:sz w:val="20"/>
          <w:szCs w:val="20"/>
        </w:rPr>
        <w:t>Common Core Document</w:t>
      </w:r>
    </w:p>
    <w:p w:rsidR="009D38C9" w:rsidRPr="006102F1" w:rsidRDefault="009D38C9" w:rsidP="009D38C9">
      <w:pPr>
        <w:numPr>
          <w:ilvl w:val="0"/>
          <w:numId w:val="6"/>
        </w:numPr>
        <w:spacing w:after="0" w:line="240" w:lineRule="auto"/>
        <w:ind w:left="1418" w:firstLine="0"/>
        <w:jc w:val="both"/>
        <w:rPr>
          <w:rFonts w:cs="Calibri"/>
          <w:bCs/>
          <w:sz w:val="20"/>
          <w:szCs w:val="20"/>
        </w:rPr>
      </w:pPr>
      <w:r w:rsidRPr="006102F1">
        <w:rPr>
          <w:rFonts w:cs="Calibri"/>
          <w:bCs/>
          <w:sz w:val="20"/>
          <w:szCs w:val="20"/>
        </w:rPr>
        <w:t>Proposed support to stimulate compliance with reporting obligations</w:t>
      </w:r>
    </w:p>
    <w:p w:rsidR="009D38C9" w:rsidRPr="006102F1" w:rsidRDefault="009D38C9" w:rsidP="009D38C9">
      <w:pPr>
        <w:numPr>
          <w:ilvl w:val="0"/>
          <w:numId w:val="6"/>
        </w:numPr>
        <w:spacing w:after="0" w:line="240" w:lineRule="auto"/>
        <w:ind w:left="1418" w:firstLine="0"/>
        <w:jc w:val="both"/>
        <w:rPr>
          <w:rFonts w:cs="Calibri"/>
          <w:bCs/>
          <w:sz w:val="20"/>
          <w:szCs w:val="20"/>
        </w:rPr>
      </w:pPr>
      <w:r w:rsidRPr="006102F1">
        <w:rPr>
          <w:rFonts w:cs="Calibri"/>
          <w:bCs/>
          <w:sz w:val="20"/>
          <w:szCs w:val="20"/>
        </w:rPr>
        <w:t xml:space="preserve">Steps towards a more </w:t>
      </w:r>
      <w:r w:rsidRPr="006102F1">
        <w:rPr>
          <w:sz w:val="20"/>
          <w:szCs w:val="20"/>
        </w:rPr>
        <w:t xml:space="preserve">inclusive process of national consultations as part of the preparation of State reports </w:t>
      </w:r>
    </w:p>
    <w:p w:rsidR="009D38C9" w:rsidRPr="006102F1" w:rsidRDefault="009D38C9" w:rsidP="009D38C9">
      <w:pPr>
        <w:numPr>
          <w:ilvl w:val="0"/>
          <w:numId w:val="6"/>
        </w:numPr>
        <w:spacing w:after="0" w:line="240" w:lineRule="auto"/>
        <w:ind w:left="1418" w:firstLine="0"/>
        <w:jc w:val="both"/>
        <w:rPr>
          <w:rFonts w:cs="Calibri"/>
          <w:bCs/>
          <w:sz w:val="20"/>
          <w:szCs w:val="20"/>
        </w:rPr>
      </w:pPr>
      <w:r w:rsidRPr="006102F1">
        <w:rPr>
          <w:sz w:val="20"/>
          <w:szCs w:val="20"/>
        </w:rPr>
        <w:t>IT support</w:t>
      </w:r>
    </w:p>
    <w:p w:rsidR="009D38C9" w:rsidRPr="006102F1" w:rsidRDefault="009D38C9" w:rsidP="009D38C9">
      <w:pPr>
        <w:spacing w:after="0" w:line="240" w:lineRule="auto"/>
        <w:ind w:left="1069" w:firstLine="349"/>
        <w:contextualSpacing/>
        <w:jc w:val="both"/>
        <w:rPr>
          <w:rFonts w:cs="Calibri"/>
          <w:b/>
          <w:sz w:val="20"/>
          <w:szCs w:val="20"/>
        </w:rPr>
      </w:pPr>
    </w:p>
    <w:p w:rsidR="009D38C9" w:rsidRPr="006102F1" w:rsidRDefault="009D38C9" w:rsidP="009D38C9">
      <w:pPr>
        <w:spacing w:after="0" w:line="240" w:lineRule="auto"/>
        <w:ind w:left="1069" w:firstLine="349"/>
        <w:contextualSpacing/>
        <w:jc w:val="both"/>
        <w:rPr>
          <w:rFonts w:cs="Calibri"/>
          <w:b/>
          <w:sz w:val="20"/>
          <w:szCs w:val="20"/>
        </w:rPr>
      </w:pPr>
      <w:r w:rsidRPr="006102F1">
        <w:rPr>
          <w:rFonts w:cs="Calibri"/>
          <w:b/>
          <w:sz w:val="20"/>
          <w:szCs w:val="20"/>
        </w:rPr>
        <w:t>Concrete measures to achieve a more structured and balanced constructive dialogue</w:t>
      </w:r>
    </w:p>
    <w:p w:rsidR="009D38C9" w:rsidRPr="006102F1" w:rsidRDefault="009D38C9" w:rsidP="009D38C9">
      <w:pPr>
        <w:spacing w:after="0" w:line="240" w:lineRule="auto"/>
        <w:ind w:left="720"/>
        <w:contextualSpacing/>
        <w:jc w:val="both"/>
        <w:rPr>
          <w:rFonts w:cs="Calibri"/>
          <w:sz w:val="20"/>
          <w:szCs w:val="20"/>
        </w:rPr>
      </w:pPr>
    </w:p>
    <w:p w:rsidR="009D38C9" w:rsidRPr="006102F1" w:rsidRDefault="009D38C9" w:rsidP="009D38C9">
      <w:pPr>
        <w:numPr>
          <w:ilvl w:val="0"/>
          <w:numId w:val="7"/>
        </w:numPr>
        <w:spacing w:line="240" w:lineRule="auto"/>
        <w:ind w:left="1418" w:firstLine="0"/>
        <w:contextualSpacing/>
        <w:jc w:val="both"/>
        <w:rPr>
          <w:rFonts w:cs="Calibri"/>
          <w:sz w:val="20"/>
          <w:szCs w:val="20"/>
        </w:rPr>
      </w:pPr>
      <w:r w:rsidRPr="006102F1">
        <w:rPr>
          <w:rFonts w:cs="Calibri"/>
          <w:sz w:val="20"/>
          <w:szCs w:val="20"/>
        </w:rPr>
        <w:t>Length and focus of the dialogue</w:t>
      </w:r>
    </w:p>
    <w:p w:rsidR="009D38C9" w:rsidRPr="006102F1" w:rsidRDefault="009D38C9" w:rsidP="009D38C9">
      <w:pPr>
        <w:numPr>
          <w:ilvl w:val="0"/>
          <w:numId w:val="7"/>
        </w:numPr>
        <w:spacing w:line="240" w:lineRule="auto"/>
        <w:ind w:left="1418" w:firstLine="0"/>
        <w:contextualSpacing/>
        <w:jc w:val="both"/>
        <w:rPr>
          <w:rFonts w:cs="Calibri"/>
          <w:sz w:val="20"/>
          <w:szCs w:val="20"/>
        </w:rPr>
      </w:pPr>
      <w:r w:rsidRPr="006102F1">
        <w:rPr>
          <w:rFonts w:cs="Calibri"/>
          <w:sz w:val="20"/>
          <w:szCs w:val="20"/>
        </w:rPr>
        <w:t>Improved time management</w:t>
      </w:r>
    </w:p>
    <w:p w:rsidR="009D38C9" w:rsidRPr="006102F1" w:rsidRDefault="009D38C9" w:rsidP="009D38C9">
      <w:pPr>
        <w:numPr>
          <w:ilvl w:val="0"/>
          <w:numId w:val="8"/>
        </w:numPr>
        <w:spacing w:line="240" w:lineRule="auto"/>
        <w:ind w:left="1418" w:firstLine="0"/>
        <w:contextualSpacing/>
        <w:jc w:val="both"/>
        <w:rPr>
          <w:rFonts w:cs="Calibri"/>
          <w:sz w:val="20"/>
          <w:szCs w:val="20"/>
        </w:rPr>
      </w:pPr>
      <w:r w:rsidRPr="006102F1">
        <w:rPr>
          <w:rFonts w:cs="Calibri"/>
          <w:sz w:val="20"/>
          <w:szCs w:val="20"/>
        </w:rPr>
        <w:t>Videoconferencing</w:t>
      </w:r>
    </w:p>
    <w:p w:rsidR="009D38C9" w:rsidRPr="006102F1" w:rsidRDefault="009D38C9" w:rsidP="009D38C9">
      <w:pPr>
        <w:numPr>
          <w:ilvl w:val="0"/>
          <w:numId w:val="8"/>
        </w:numPr>
        <w:spacing w:line="240" w:lineRule="auto"/>
        <w:ind w:left="1418" w:firstLine="0"/>
        <w:contextualSpacing/>
        <w:jc w:val="both"/>
        <w:rPr>
          <w:rFonts w:cs="Calibri"/>
          <w:sz w:val="20"/>
          <w:szCs w:val="20"/>
        </w:rPr>
      </w:pPr>
      <w:r w:rsidRPr="006102F1">
        <w:rPr>
          <w:rFonts w:cs="Calibri"/>
          <w:sz w:val="20"/>
          <w:szCs w:val="20"/>
        </w:rPr>
        <w:t xml:space="preserve">More focused and shorter Concluding Observations </w:t>
      </w:r>
    </w:p>
    <w:p w:rsidR="009D38C9" w:rsidRPr="006102F1" w:rsidRDefault="009D38C9" w:rsidP="009D38C9">
      <w:pPr>
        <w:spacing w:line="240" w:lineRule="auto"/>
        <w:ind w:left="720"/>
        <w:contextualSpacing/>
        <w:jc w:val="both"/>
        <w:rPr>
          <w:rFonts w:cs="Calibri"/>
          <w:sz w:val="20"/>
          <w:szCs w:val="20"/>
        </w:rPr>
      </w:pPr>
    </w:p>
    <w:p w:rsidR="009D38C9" w:rsidRPr="006102F1" w:rsidRDefault="009D38C9" w:rsidP="009D38C9">
      <w:pPr>
        <w:spacing w:after="0" w:line="240" w:lineRule="auto"/>
        <w:ind w:left="720"/>
        <w:contextualSpacing/>
        <w:jc w:val="both"/>
        <w:rPr>
          <w:rFonts w:cs="Calibri"/>
          <w:b/>
          <w:sz w:val="20"/>
          <w:szCs w:val="20"/>
        </w:rPr>
      </w:pPr>
      <w:r w:rsidRPr="006102F1">
        <w:rPr>
          <w:rFonts w:cs="Calibri"/>
          <w:b/>
          <w:bCs/>
          <w:sz w:val="20"/>
          <w:szCs w:val="20"/>
        </w:rPr>
        <w:tab/>
      </w:r>
      <w:r w:rsidRPr="006102F1">
        <w:rPr>
          <w:rFonts w:cs="Calibri"/>
          <w:b/>
          <w:sz w:val="20"/>
          <w:szCs w:val="20"/>
        </w:rPr>
        <w:t xml:space="preserve"> </w:t>
      </w:r>
    </w:p>
    <w:p w:rsidR="009D38C9" w:rsidRPr="005C586F" w:rsidRDefault="009D38C9" w:rsidP="009D38C9">
      <w:pPr>
        <w:autoSpaceDE w:val="0"/>
        <w:autoSpaceDN w:val="0"/>
        <w:adjustRightInd w:val="0"/>
        <w:spacing w:after="240" w:line="240" w:lineRule="auto"/>
        <w:jc w:val="both"/>
        <w:rPr>
          <w:rFonts w:cs="Calibri"/>
          <w:b/>
          <w:bCs/>
          <w:color w:val="000000"/>
          <w:sz w:val="20"/>
          <w:szCs w:val="20"/>
        </w:rPr>
      </w:pPr>
      <w:r>
        <w:rPr>
          <w:rFonts w:cs="Calibri"/>
          <w:b/>
          <w:sz w:val="20"/>
          <w:szCs w:val="20"/>
        </w:rPr>
        <w:t>17:15-17:3</w:t>
      </w:r>
      <w:r w:rsidRPr="006102F1">
        <w:rPr>
          <w:rFonts w:cs="Calibri"/>
          <w:b/>
          <w:sz w:val="20"/>
          <w:szCs w:val="20"/>
        </w:rPr>
        <w:t xml:space="preserve">0 </w:t>
      </w:r>
      <w:r w:rsidRPr="006102F1">
        <w:rPr>
          <w:rFonts w:cs="Calibri"/>
          <w:b/>
          <w:sz w:val="20"/>
          <w:szCs w:val="20"/>
        </w:rPr>
        <w:tab/>
      </w:r>
      <w:r>
        <w:rPr>
          <w:rFonts w:cs="Calibri"/>
          <w:b/>
          <w:sz w:val="20"/>
          <w:szCs w:val="20"/>
        </w:rPr>
        <w:t>High Commissioner for Human Rights c</w:t>
      </w:r>
      <w:r w:rsidRPr="00E107ED">
        <w:rPr>
          <w:rFonts w:cs="Calibri"/>
          <w:b/>
          <w:sz w:val="20"/>
          <w:szCs w:val="20"/>
        </w:rPr>
        <w:t>losing</w:t>
      </w:r>
      <w:r>
        <w:rPr>
          <w:rFonts w:cs="Calibri"/>
          <w:b/>
          <w:sz w:val="20"/>
          <w:szCs w:val="20"/>
        </w:rPr>
        <w:t xml:space="preserve"> remarks</w:t>
      </w:r>
      <w:r w:rsidRPr="00E107ED">
        <w:rPr>
          <w:rFonts w:cs="Calibri"/>
          <w:b/>
          <w:sz w:val="20"/>
          <w:szCs w:val="20"/>
        </w:rPr>
        <w:t xml:space="preserve"> by </w:t>
      </w:r>
      <w:r w:rsidRPr="00E107ED">
        <w:rPr>
          <w:rFonts w:cs="Calibri"/>
          <w:b/>
          <w:bCs/>
          <w:color w:val="000000"/>
          <w:sz w:val="20"/>
          <w:szCs w:val="20"/>
        </w:rPr>
        <w:t xml:space="preserve">Mr. Ivan </w:t>
      </w:r>
      <w:r w:rsidRPr="00FE1AA6">
        <w:rPr>
          <w:rFonts w:cs="Calibri"/>
          <w:b/>
          <w:bCs/>
          <w:sz w:val="20"/>
          <w:szCs w:val="20"/>
        </w:rPr>
        <w:t>Šimonović</w:t>
      </w:r>
      <w:r w:rsidRPr="00E107ED">
        <w:rPr>
          <w:rFonts w:cs="Calibri"/>
          <w:b/>
          <w:bCs/>
          <w:color w:val="000000"/>
          <w:sz w:val="20"/>
          <w:szCs w:val="20"/>
        </w:rPr>
        <w:t xml:space="preserve">, Assistant </w:t>
      </w:r>
      <w:r>
        <w:rPr>
          <w:rFonts w:cs="Calibri"/>
          <w:b/>
          <w:bCs/>
          <w:color w:val="000000"/>
          <w:sz w:val="20"/>
          <w:szCs w:val="20"/>
        </w:rPr>
        <w:tab/>
      </w:r>
      <w:r w:rsidRPr="00E107ED">
        <w:rPr>
          <w:rFonts w:cs="Calibri"/>
          <w:b/>
          <w:bCs/>
          <w:color w:val="000000"/>
          <w:sz w:val="20"/>
          <w:szCs w:val="20"/>
        </w:rPr>
        <w:t>Secretary-General for Human Rights, OHCHR</w:t>
      </w:r>
    </w:p>
    <w:p w:rsidR="00A068FB" w:rsidRPr="00427E9C" w:rsidRDefault="00A068FB" w:rsidP="007E3260">
      <w:pPr>
        <w:spacing w:after="0" w:line="240" w:lineRule="auto"/>
        <w:rPr>
          <w:rFonts w:cs="Calibri"/>
          <w:lang w:val="en-US"/>
        </w:rPr>
      </w:pPr>
    </w:p>
    <w:tbl>
      <w:tblPr>
        <w:tblW w:w="8946" w:type="dxa"/>
        <w:tblInd w:w="93" w:type="dxa"/>
        <w:tblLook w:val="00A0" w:firstRow="1" w:lastRow="0" w:firstColumn="1" w:lastColumn="0" w:noHBand="0" w:noVBand="0"/>
      </w:tblPr>
      <w:tblGrid>
        <w:gridCol w:w="8946"/>
      </w:tblGrid>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rsidP="007E3260">
            <w:pPr>
              <w:jc w:val="center"/>
              <w:rPr>
                <w:rFonts w:cs="Calibri"/>
                <w:b/>
                <w:color w:val="000000"/>
              </w:rPr>
            </w:pPr>
            <w:r w:rsidRPr="00566C0D">
              <w:rPr>
                <w:rFonts w:cs="Calibri"/>
                <w:b/>
                <w:color w:val="000000"/>
              </w:rPr>
              <w:t>List of participants</w:t>
            </w:r>
          </w:p>
          <w:p w:rsidR="00C358F1" w:rsidRPr="00C358F1" w:rsidRDefault="00C358F1" w:rsidP="00C358F1">
            <w:pPr>
              <w:rPr>
                <w:rFonts w:cs="Calibri"/>
                <w:color w:val="000000"/>
              </w:rPr>
            </w:pPr>
            <w:r w:rsidRPr="00C358F1">
              <w:rPr>
                <w:rFonts w:cs="Calibri"/>
                <w:color w:val="000000"/>
              </w:rPr>
              <w:t>Afghanistan</w:t>
            </w:r>
          </w:p>
          <w:p w:rsidR="00C358F1" w:rsidRPr="00C358F1" w:rsidRDefault="00C358F1" w:rsidP="00C358F1">
            <w:pPr>
              <w:rPr>
                <w:rFonts w:cs="Calibri"/>
                <w:color w:val="000000"/>
              </w:rPr>
            </w:pPr>
            <w:r w:rsidRPr="00C358F1">
              <w:rPr>
                <w:rFonts w:cs="Calibri"/>
                <w:color w:val="000000"/>
              </w:rPr>
              <w:t>Albania</w:t>
            </w:r>
          </w:p>
          <w:p w:rsidR="00C358F1" w:rsidRPr="00C358F1" w:rsidRDefault="00C358F1" w:rsidP="00C358F1">
            <w:pPr>
              <w:rPr>
                <w:rFonts w:cs="Calibri"/>
                <w:color w:val="000000"/>
              </w:rPr>
            </w:pPr>
            <w:r w:rsidRPr="00C358F1">
              <w:rPr>
                <w:rFonts w:cs="Calibri"/>
                <w:color w:val="000000"/>
              </w:rPr>
              <w:t>Algeria</w:t>
            </w:r>
          </w:p>
          <w:p w:rsidR="00C358F1" w:rsidRPr="00413660" w:rsidRDefault="00C358F1" w:rsidP="00C358F1">
            <w:pPr>
              <w:rPr>
                <w:rFonts w:cs="Calibri"/>
                <w:color w:val="000000"/>
                <w:lang w:val="es-ES"/>
              </w:rPr>
            </w:pPr>
            <w:r w:rsidRPr="00413660">
              <w:rPr>
                <w:rFonts w:cs="Calibri"/>
                <w:color w:val="000000"/>
                <w:lang w:val="es-ES"/>
              </w:rPr>
              <w:t>Andorra</w:t>
            </w:r>
          </w:p>
          <w:p w:rsidR="00C358F1" w:rsidRPr="00413660" w:rsidRDefault="00C358F1" w:rsidP="00C358F1">
            <w:pPr>
              <w:rPr>
                <w:rFonts w:cs="Calibri"/>
                <w:color w:val="000000"/>
                <w:lang w:val="es-ES"/>
              </w:rPr>
            </w:pPr>
            <w:r w:rsidRPr="00413660">
              <w:rPr>
                <w:rFonts w:cs="Calibri"/>
                <w:color w:val="000000"/>
                <w:lang w:val="es-ES"/>
              </w:rPr>
              <w:t>Angola</w:t>
            </w:r>
          </w:p>
          <w:p w:rsidR="00C358F1" w:rsidRPr="00413660" w:rsidRDefault="00C358F1" w:rsidP="00C358F1">
            <w:pPr>
              <w:rPr>
                <w:rFonts w:cs="Calibri"/>
                <w:color w:val="000000"/>
                <w:lang w:val="es-ES"/>
              </w:rPr>
            </w:pPr>
            <w:r w:rsidRPr="00413660">
              <w:rPr>
                <w:rFonts w:cs="Calibri"/>
                <w:color w:val="000000"/>
                <w:lang w:val="es-ES"/>
              </w:rPr>
              <w:t>Antigua and Barbuda</w:t>
            </w:r>
          </w:p>
          <w:p w:rsidR="00C358F1" w:rsidRPr="00413660" w:rsidRDefault="00C358F1" w:rsidP="00C358F1">
            <w:pPr>
              <w:rPr>
                <w:rFonts w:cs="Calibri"/>
                <w:color w:val="000000"/>
                <w:lang w:val="es-ES"/>
              </w:rPr>
            </w:pPr>
            <w:r w:rsidRPr="00413660">
              <w:rPr>
                <w:rFonts w:cs="Calibri"/>
                <w:color w:val="000000"/>
                <w:lang w:val="es-ES"/>
              </w:rPr>
              <w:t>Argentina</w:t>
            </w:r>
          </w:p>
          <w:p w:rsidR="00C358F1" w:rsidRPr="00413660" w:rsidRDefault="00C358F1" w:rsidP="00C358F1">
            <w:pPr>
              <w:rPr>
                <w:rFonts w:cs="Calibri"/>
                <w:color w:val="000000"/>
                <w:lang w:val="es-ES"/>
              </w:rPr>
            </w:pPr>
            <w:r w:rsidRPr="00413660">
              <w:rPr>
                <w:rFonts w:cs="Calibri"/>
                <w:color w:val="000000"/>
                <w:lang w:val="es-ES"/>
              </w:rPr>
              <w:t>Armenia</w:t>
            </w:r>
          </w:p>
          <w:p w:rsidR="00C358F1" w:rsidRPr="00413660" w:rsidRDefault="00C358F1" w:rsidP="00C358F1">
            <w:pPr>
              <w:rPr>
                <w:rFonts w:cs="Calibri"/>
                <w:color w:val="000000"/>
                <w:lang w:val="es-ES"/>
              </w:rPr>
            </w:pPr>
            <w:r w:rsidRPr="00413660">
              <w:rPr>
                <w:rFonts w:cs="Calibri"/>
                <w:color w:val="000000"/>
                <w:lang w:val="es-ES"/>
              </w:rPr>
              <w:t>Australia</w:t>
            </w:r>
          </w:p>
          <w:p w:rsidR="00C358F1" w:rsidRPr="00413660" w:rsidRDefault="00C358F1" w:rsidP="00C358F1">
            <w:pPr>
              <w:rPr>
                <w:rFonts w:cs="Calibri"/>
                <w:color w:val="000000"/>
                <w:lang w:val="es-ES"/>
              </w:rPr>
            </w:pPr>
            <w:r w:rsidRPr="00413660">
              <w:rPr>
                <w:rFonts w:cs="Calibri"/>
                <w:color w:val="000000"/>
                <w:lang w:val="es-ES"/>
              </w:rPr>
              <w:t>Austria</w:t>
            </w:r>
          </w:p>
          <w:p w:rsidR="00C358F1" w:rsidRPr="00413660" w:rsidRDefault="00C358F1" w:rsidP="00C358F1">
            <w:pPr>
              <w:rPr>
                <w:rFonts w:cs="Calibri"/>
                <w:color w:val="000000"/>
                <w:lang w:val="es-ES"/>
              </w:rPr>
            </w:pPr>
            <w:r w:rsidRPr="00413660">
              <w:rPr>
                <w:rFonts w:cs="Calibri"/>
                <w:color w:val="000000"/>
                <w:lang w:val="es-ES"/>
              </w:rPr>
              <w:t>Azerbaijan</w:t>
            </w:r>
          </w:p>
          <w:p w:rsidR="00C358F1" w:rsidRPr="00413660" w:rsidRDefault="00C358F1" w:rsidP="00C358F1">
            <w:pPr>
              <w:rPr>
                <w:rFonts w:cs="Calibri"/>
                <w:color w:val="000000"/>
                <w:lang w:val="es-ES"/>
              </w:rPr>
            </w:pPr>
            <w:r w:rsidRPr="00413660">
              <w:rPr>
                <w:rFonts w:cs="Calibri"/>
                <w:color w:val="000000"/>
                <w:lang w:val="es-ES"/>
              </w:rPr>
              <w:t>Bahamas</w:t>
            </w:r>
          </w:p>
          <w:p w:rsidR="00C358F1" w:rsidRPr="00413660" w:rsidRDefault="00C358F1" w:rsidP="00C358F1">
            <w:pPr>
              <w:rPr>
                <w:rFonts w:cs="Calibri"/>
                <w:color w:val="000000"/>
                <w:lang w:val="es-ES"/>
              </w:rPr>
            </w:pPr>
            <w:r w:rsidRPr="00413660">
              <w:rPr>
                <w:rFonts w:cs="Calibri"/>
                <w:color w:val="000000"/>
                <w:lang w:val="es-ES"/>
              </w:rPr>
              <w:t>Bahrain</w:t>
            </w:r>
          </w:p>
          <w:p w:rsidR="00C358F1" w:rsidRPr="00C358F1" w:rsidRDefault="00C358F1" w:rsidP="00C358F1">
            <w:pPr>
              <w:rPr>
                <w:rFonts w:cs="Calibri"/>
                <w:color w:val="000000"/>
              </w:rPr>
            </w:pPr>
            <w:r w:rsidRPr="00C358F1">
              <w:rPr>
                <w:rFonts w:cs="Calibri"/>
                <w:color w:val="000000"/>
              </w:rPr>
              <w:t>Bangladesh</w:t>
            </w:r>
          </w:p>
          <w:p w:rsidR="00C358F1" w:rsidRPr="00C358F1" w:rsidRDefault="00C358F1" w:rsidP="00C358F1">
            <w:pPr>
              <w:rPr>
                <w:rFonts w:cs="Calibri"/>
                <w:color w:val="000000"/>
              </w:rPr>
            </w:pPr>
            <w:r w:rsidRPr="00C358F1">
              <w:rPr>
                <w:rFonts w:cs="Calibri"/>
                <w:color w:val="000000"/>
              </w:rPr>
              <w:t>Barbados</w:t>
            </w:r>
          </w:p>
          <w:p w:rsidR="00C358F1" w:rsidRPr="00C358F1" w:rsidRDefault="00C358F1" w:rsidP="00C358F1">
            <w:pPr>
              <w:rPr>
                <w:rFonts w:cs="Calibri"/>
                <w:color w:val="000000"/>
              </w:rPr>
            </w:pPr>
            <w:r w:rsidRPr="00C358F1">
              <w:rPr>
                <w:rFonts w:cs="Calibri"/>
                <w:color w:val="000000"/>
              </w:rPr>
              <w:t>Belarus</w:t>
            </w:r>
          </w:p>
          <w:p w:rsidR="00C358F1" w:rsidRPr="00C358F1" w:rsidRDefault="00C358F1" w:rsidP="00C358F1">
            <w:pPr>
              <w:rPr>
                <w:rFonts w:cs="Calibri"/>
                <w:color w:val="000000"/>
              </w:rPr>
            </w:pPr>
            <w:r w:rsidRPr="00C358F1">
              <w:rPr>
                <w:rFonts w:cs="Calibri"/>
                <w:color w:val="000000"/>
              </w:rPr>
              <w:t>Belgium</w:t>
            </w:r>
          </w:p>
          <w:p w:rsidR="00C358F1" w:rsidRPr="00C358F1" w:rsidRDefault="00C358F1" w:rsidP="00C358F1">
            <w:pPr>
              <w:rPr>
                <w:rFonts w:cs="Calibri"/>
                <w:color w:val="000000"/>
              </w:rPr>
            </w:pPr>
            <w:r w:rsidRPr="00C358F1">
              <w:rPr>
                <w:rFonts w:cs="Calibri"/>
                <w:color w:val="000000"/>
              </w:rPr>
              <w:t>Belize</w:t>
            </w:r>
          </w:p>
          <w:p w:rsidR="00C358F1" w:rsidRPr="00C358F1" w:rsidRDefault="00C358F1" w:rsidP="00C358F1">
            <w:pPr>
              <w:rPr>
                <w:rFonts w:cs="Calibri"/>
                <w:color w:val="000000"/>
              </w:rPr>
            </w:pPr>
            <w:r w:rsidRPr="00C358F1">
              <w:rPr>
                <w:rFonts w:cs="Calibri"/>
                <w:color w:val="000000"/>
              </w:rPr>
              <w:t>Benin</w:t>
            </w:r>
          </w:p>
          <w:p w:rsidR="00C358F1" w:rsidRPr="00C358F1" w:rsidRDefault="00C358F1" w:rsidP="00C358F1">
            <w:pPr>
              <w:rPr>
                <w:rFonts w:cs="Calibri"/>
                <w:color w:val="000000"/>
              </w:rPr>
            </w:pPr>
            <w:r w:rsidRPr="00C358F1">
              <w:rPr>
                <w:rFonts w:cs="Calibri"/>
                <w:color w:val="000000"/>
              </w:rPr>
              <w:t>Bhutan</w:t>
            </w:r>
          </w:p>
          <w:p w:rsidR="00C358F1" w:rsidRPr="00C358F1" w:rsidRDefault="00602066" w:rsidP="00C358F1">
            <w:pPr>
              <w:rPr>
                <w:rFonts w:cs="Calibri"/>
                <w:color w:val="000000"/>
              </w:rPr>
            </w:pPr>
            <w:r>
              <w:rPr>
                <w:rFonts w:cs="Calibri"/>
                <w:color w:val="000000"/>
              </w:rPr>
              <w:t>(</w:t>
            </w:r>
            <w:r w:rsidR="00C358F1" w:rsidRPr="00C358F1">
              <w:rPr>
                <w:rFonts w:cs="Calibri"/>
                <w:color w:val="000000"/>
              </w:rPr>
              <w:t>Plurinational State of</w:t>
            </w:r>
            <w:r>
              <w:rPr>
                <w:rFonts w:cs="Calibri"/>
                <w:color w:val="000000"/>
              </w:rPr>
              <w:t>)</w:t>
            </w:r>
            <w:r w:rsidR="00C358F1" w:rsidRPr="00C358F1">
              <w:rPr>
                <w:rFonts w:cs="Calibri"/>
                <w:color w:val="000000"/>
              </w:rPr>
              <w:t xml:space="preserve"> Bolivia</w:t>
            </w:r>
          </w:p>
          <w:p w:rsidR="00C358F1" w:rsidRPr="00C358F1" w:rsidRDefault="00C358F1" w:rsidP="00C358F1">
            <w:pPr>
              <w:rPr>
                <w:rFonts w:cs="Calibri"/>
                <w:color w:val="000000"/>
              </w:rPr>
            </w:pPr>
            <w:r w:rsidRPr="00C358F1">
              <w:rPr>
                <w:rFonts w:cs="Calibri"/>
                <w:color w:val="000000"/>
              </w:rPr>
              <w:t>Bosnia and Herzegovina</w:t>
            </w:r>
          </w:p>
          <w:p w:rsidR="00C358F1" w:rsidRPr="00413660" w:rsidRDefault="00C358F1" w:rsidP="00C358F1">
            <w:pPr>
              <w:rPr>
                <w:rFonts w:cs="Calibri"/>
                <w:color w:val="000000"/>
                <w:lang w:val="es-ES"/>
              </w:rPr>
            </w:pPr>
            <w:r w:rsidRPr="00413660">
              <w:rPr>
                <w:rFonts w:cs="Calibri"/>
                <w:color w:val="000000"/>
                <w:lang w:val="es-ES"/>
              </w:rPr>
              <w:t>Botswana</w:t>
            </w:r>
          </w:p>
          <w:p w:rsidR="00C358F1" w:rsidRPr="00413660" w:rsidRDefault="00C358F1" w:rsidP="00C358F1">
            <w:pPr>
              <w:rPr>
                <w:rFonts w:cs="Calibri"/>
                <w:color w:val="000000"/>
                <w:lang w:val="es-ES"/>
              </w:rPr>
            </w:pPr>
            <w:r w:rsidRPr="00413660">
              <w:rPr>
                <w:rFonts w:cs="Calibri"/>
                <w:color w:val="000000"/>
                <w:lang w:val="es-ES"/>
              </w:rPr>
              <w:t>Brazil</w:t>
            </w:r>
          </w:p>
          <w:p w:rsidR="00C358F1" w:rsidRPr="00413660" w:rsidRDefault="00C358F1" w:rsidP="00C358F1">
            <w:pPr>
              <w:rPr>
                <w:rFonts w:cs="Calibri"/>
                <w:color w:val="000000"/>
                <w:lang w:val="es-ES"/>
              </w:rPr>
            </w:pPr>
            <w:r w:rsidRPr="00413660">
              <w:rPr>
                <w:rFonts w:cs="Calibri"/>
                <w:color w:val="000000"/>
                <w:lang w:val="es-ES"/>
              </w:rPr>
              <w:t>Brunei Darussalam</w:t>
            </w:r>
          </w:p>
          <w:p w:rsidR="00C358F1" w:rsidRPr="00413660" w:rsidRDefault="00C358F1" w:rsidP="00C358F1">
            <w:pPr>
              <w:rPr>
                <w:rFonts w:cs="Calibri"/>
                <w:color w:val="000000"/>
                <w:lang w:val="es-ES"/>
              </w:rPr>
            </w:pPr>
            <w:r w:rsidRPr="00413660">
              <w:rPr>
                <w:rFonts w:cs="Calibri"/>
                <w:color w:val="000000"/>
                <w:lang w:val="es-ES"/>
              </w:rPr>
              <w:t>Bulgaria</w:t>
            </w:r>
          </w:p>
          <w:p w:rsidR="00C358F1" w:rsidRPr="00413660" w:rsidRDefault="00C358F1" w:rsidP="00C358F1">
            <w:pPr>
              <w:rPr>
                <w:rFonts w:cs="Calibri"/>
                <w:color w:val="000000"/>
                <w:lang w:val="es-ES"/>
              </w:rPr>
            </w:pPr>
            <w:r w:rsidRPr="00413660">
              <w:rPr>
                <w:rFonts w:cs="Calibri"/>
                <w:color w:val="000000"/>
                <w:lang w:val="es-ES"/>
              </w:rPr>
              <w:t>Burkina Faso</w:t>
            </w:r>
          </w:p>
          <w:p w:rsidR="00C358F1" w:rsidRPr="00413660" w:rsidRDefault="00C358F1" w:rsidP="00C358F1">
            <w:pPr>
              <w:rPr>
                <w:rFonts w:cs="Calibri"/>
                <w:color w:val="000000"/>
                <w:lang w:val="es-ES"/>
              </w:rPr>
            </w:pPr>
            <w:r w:rsidRPr="00413660">
              <w:rPr>
                <w:rFonts w:cs="Calibri"/>
                <w:color w:val="000000"/>
                <w:lang w:val="es-ES"/>
              </w:rPr>
              <w:t>Burundi</w:t>
            </w:r>
          </w:p>
          <w:p w:rsidR="00C358F1" w:rsidRPr="00413660" w:rsidRDefault="00C358F1" w:rsidP="00C358F1">
            <w:pPr>
              <w:rPr>
                <w:rFonts w:cs="Calibri"/>
                <w:color w:val="000000"/>
                <w:lang w:val="es-ES"/>
              </w:rPr>
            </w:pPr>
            <w:r w:rsidRPr="00413660">
              <w:rPr>
                <w:rFonts w:cs="Calibri"/>
                <w:color w:val="000000"/>
                <w:lang w:val="es-ES"/>
              </w:rPr>
              <w:t>Cambodia</w:t>
            </w:r>
          </w:p>
          <w:p w:rsidR="00C358F1" w:rsidRPr="00413660" w:rsidRDefault="00C358F1" w:rsidP="00C358F1">
            <w:pPr>
              <w:rPr>
                <w:rFonts w:cs="Calibri"/>
                <w:color w:val="000000"/>
                <w:lang w:val="es-ES"/>
              </w:rPr>
            </w:pPr>
            <w:r w:rsidRPr="00413660">
              <w:rPr>
                <w:rFonts w:cs="Calibri"/>
                <w:color w:val="000000"/>
                <w:lang w:val="es-ES"/>
              </w:rPr>
              <w:t>Cameroon</w:t>
            </w:r>
          </w:p>
          <w:p w:rsidR="00C358F1" w:rsidRPr="00413660" w:rsidRDefault="00C358F1" w:rsidP="00C358F1">
            <w:pPr>
              <w:rPr>
                <w:rFonts w:cs="Calibri"/>
                <w:color w:val="000000"/>
                <w:lang w:val="es-ES"/>
              </w:rPr>
            </w:pPr>
            <w:r w:rsidRPr="00413660">
              <w:rPr>
                <w:rFonts w:cs="Calibri"/>
                <w:color w:val="000000"/>
                <w:lang w:val="es-ES"/>
              </w:rPr>
              <w:t>Canada</w:t>
            </w:r>
          </w:p>
          <w:p w:rsidR="00C358F1" w:rsidRPr="00413660" w:rsidRDefault="00C358F1" w:rsidP="00C358F1">
            <w:pPr>
              <w:rPr>
                <w:rFonts w:cs="Calibri"/>
                <w:color w:val="000000"/>
                <w:lang w:val="es-ES"/>
              </w:rPr>
            </w:pPr>
            <w:r w:rsidRPr="00413660">
              <w:rPr>
                <w:rFonts w:cs="Calibri"/>
                <w:color w:val="000000"/>
                <w:lang w:val="es-ES"/>
              </w:rPr>
              <w:t>Cape Verde</w:t>
            </w:r>
          </w:p>
          <w:p w:rsidR="00C358F1" w:rsidRPr="00C358F1" w:rsidRDefault="00C358F1" w:rsidP="00C358F1">
            <w:pPr>
              <w:rPr>
                <w:rFonts w:cs="Calibri"/>
                <w:color w:val="000000"/>
              </w:rPr>
            </w:pPr>
            <w:r w:rsidRPr="00C358F1">
              <w:rPr>
                <w:rFonts w:cs="Calibri"/>
                <w:color w:val="000000"/>
              </w:rPr>
              <w:t>Central African Republic</w:t>
            </w:r>
          </w:p>
          <w:p w:rsidR="00C358F1" w:rsidRPr="00C358F1" w:rsidRDefault="00C358F1" w:rsidP="00C358F1">
            <w:pPr>
              <w:rPr>
                <w:rFonts w:cs="Calibri"/>
                <w:color w:val="000000"/>
              </w:rPr>
            </w:pPr>
            <w:r w:rsidRPr="00C358F1">
              <w:rPr>
                <w:rFonts w:cs="Calibri"/>
                <w:color w:val="000000"/>
              </w:rPr>
              <w:t>Chad</w:t>
            </w:r>
          </w:p>
          <w:p w:rsidR="00C358F1" w:rsidRPr="00C358F1" w:rsidRDefault="00C358F1" w:rsidP="00C358F1">
            <w:pPr>
              <w:rPr>
                <w:rFonts w:cs="Calibri"/>
                <w:color w:val="000000"/>
              </w:rPr>
            </w:pPr>
            <w:r w:rsidRPr="00C358F1">
              <w:rPr>
                <w:rFonts w:cs="Calibri"/>
                <w:color w:val="000000"/>
              </w:rPr>
              <w:t>Chile</w:t>
            </w:r>
          </w:p>
          <w:p w:rsidR="00C358F1" w:rsidRPr="00C358F1" w:rsidRDefault="00C358F1" w:rsidP="00C358F1">
            <w:pPr>
              <w:rPr>
                <w:rFonts w:cs="Calibri"/>
                <w:color w:val="000000"/>
              </w:rPr>
            </w:pPr>
            <w:r w:rsidRPr="00C358F1">
              <w:rPr>
                <w:rFonts w:cs="Calibri"/>
                <w:color w:val="000000"/>
              </w:rPr>
              <w:t>People’s Republic of China</w:t>
            </w:r>
          </w:p>
          <w:p w:rsidR="00C358F1" w:rsidRPr="005C586F" w:rsidRDefault="00C358F1" w:rsidP="00C358F1">
            <w:pPr>
              <w:rPr>
                <w:rFonts w:cs="Calibri"/>
                <w:color w:val="000000"/>
                <w:lang w:val="es-ES"/>
              </w:rPr>
            </w:pPr>
            <w:r w:rsidRPr="005C586F">
              <w:rPr>
                <w:rFonts w:cs="Calibri"/>
                <w:color w:val="000000"/>
                <w:lang w:val="es-ES"/>
              </w:rPr>
              <w:t>Colombia</w:t>
            </w:r>
          </w:p>
          <w:p w:rsidR="00C358F1" w:rsidRPr="005C586F" w:rsidRDefault="00C358F1" w:rsidP="00C358F1">
            <w:pPr>
              <w:rPr>
                <w:rFonts w:cs="Calibri"/>
                <w:color w:val="000000"/>
                <w:lang w:val="es-ES"/>
              </w:rPr>
            </w:pPr>
            <w:r w:rsidRPr="005C586F">
              <w:rPr>
                <w:rFonts w:cs="Calibri"/>
                <w:color w:val="000000"/>
                <w:lang w:val="es-ES"/>
              </w:rPr>
              <w:t>Comoros</w:t>
            </w:r>
          </w:p>
          <w:p w:rsidR="00C358F1" w:rsidRPr="005C586F" w:rsidRDefault="00C358F1" w:rsidP="00C358F1">
            <w:pPr>
              <w:rPr>
                <w:rFonts w:cs="Calibri"/>
                <w:color w:val="000000"/>
                <w:lang w:val="es-ES"/>
              </w:rPr>
            </w:pPr>
            <w:r w:rsidRPr="005C586F">
              <w:rPr>
                <w:rFonts w:cs="Calibri"/>
                <w:color w:val="000000"/>
                <w:lang w:val="es-ES"/>
              </w:rPr>
              <w:t>Congo</w:t>
            </w:r>
          </w:p>
          <w:p w:rsidR="00C358F1" w:rsidRPr="005C586F" w:rsidRDefault="00C358F1" w:rsidP="00C358F1">
            <w:pPr>
              <w:rPr>
                <w:rFonts w:cs="Calibri"/>
                <w:color w:val="000000"/>
                <w:lang w:val="es-ES"/>
              </w:rPr>
            </w:pPr>
            <w:r w:rsidRPr="005C586F">
              <w:rPr>
                <w:rFonts w:cs="Calibri"/>
                <w:color w:val="000000"/>
                <w:lang w:val="es-ES"/>
              </w:rPr>
              <w:t>Costa Rica</w:t>
            </w:r>
          </w:p>
          <w:p w:rsidR="00C358F1" w:rsidRPr="005C586F" w:rsidRDefault="00C358F1" w:rsidP="00C358F1">
            <w:pPr>
              <w:rPr>
                <w:rFonts w:cs="Calibri"/>
                <w:color w:val="000000"/>
                <w:lang w:val="es-ES"/>
              </w:rPr>
            </w:pPr>
            <w:r w:rsidRPr="005C586F">
              <w:rPr>
                <w:rFonts w:cs="Calibri"/>
                <w:color w:val="000000"/>
                <w:lang w:val="es-ES"/>
              </w:rPr>
              <w:t>Côte d’Ivoire</w:t>
            </w:r>
          </w:p>
          <w:p w:rsidR="00C358F1" w:rsidRPr="00C358F1" w:rsidRDefault="00C358F1" w:rsidP="00C358F1">
            <w:pPr>
              <w:rPr>
                <w:rFonts w:cs="Calibri"/>
                <w:color w:val="000000"/>
              </w:rPr>
            </w:pPr>
            <w:r w:rsidRPr="00C358F1">
              <w:rPr>
                <w:rFonts w:cs="Calibri"/>
                <w:color w:val="000000"/>
              </w:rPr>
              <w:t>Croatia</w:t>
            </w:r>
          </w:p>
          <w:p w:rsidR="00C358F1" w:rsidRPr="00C358F1" w:rsidRDefault="00C358F1" w:rsidP="00C358F1">
            <w:pPr>
              <w:rPr>
                <w:rFonts w:cs="Calibri"/>
                <w:color w:val="000000"/>
              </w:rPr>
            </w:pPr>
            <w:r w:rsidRPr="00C358F1">
              <w:rPr>
                <w:rFonts w:cs="Calibri"/>
                <w:color w:val="000000"/>
              </w:rPr>
              <w:t>Cuba</w:t>
            </w:r>
          </w:p>
          <w:p w:rsidR="00C358F1" w:rsidRPr="00C358F1" w:rsidRDefault="00C358F1" w:rsidP="00C358F1">
            <w:pPr>
              <w:rPr>
                <w:rFonts w:cs="Calibri"/>
                <w:color w:val="000000"/>
              </w:rPr>
            </w:pPr>
            <w:r w:rsidRPr="00C358F1">
              <w:rPr>
                <w:rFonts w:cs="Calibri"/>
                <w:color w:val="000000"/>
              </w:rPr>
              <w:t>Cyprus</w:t>
            </w:r>
          </w:p>
          <w:p w:rsidR="00C358F1" w:rsidRPr="00C358F1" w:rsidRDefault="00C358F1" w:rsidP="00C358F1">
            <w:pPr>
              <w:rPr>
                <w:rFonts w:cs="Calibri"/>
                <w:color w:val="000000"/>
              </w:rPr>
            </w:pPr>
            <w:r w:rsidRPr="00C358F1">
              <w:rPr>
                <w:rFonts w:cs="Calibri"/>
                <w:color w:val="000000"/>
              </w:rPr>
              <w:t>Czech Republic</w:t>
            </w:r>
          </w:p>
          <w:p w:rsidR="00C358F1" w:rsidRPr="00C358F1" w:rsidRDefault="00C358F1" w:rsidP="00C358F1">
            <w:pPr>
              <w:rPr>
                <w:rFonts w:cs="Calibri"/>
                <w:color w:val="000000"/>
              </w:rPr>
            </w:pPr>
            <w:r w:rsidRPr="00C358F1">
              <w:rPr>
                <w:rFonts w:cs="Calibri"/>
                <w:color w:val="000000"/>
              </w:rPr>
              <w:t>Democratic People’s Republic of Korea</w:t>
            </w:r>
          </w:p>
          <w:p w:rsidR="00C358F1" w:rsidRPr="00C358F1" w:rsidRDefault="00C358F1" w:rsidP="00C358F1">
            <w:pPr>
              <w:rPr>
                <w:rFonts w:cs="Calibri"/>
                <w:color w:val="000000"/>
              </w:rPr>
            </w:pPr>
            <w:r w:rsidRPr="00C358F1">
              <w:rPr>
                <w:rFonts w:cs="Calibri"/>
                <w:color w:val="000000"/>
              </w:rPr>
              <w:t>Democratic Republic of the Congo</w:t>
            </w:r>
          </w:p>
          <w:p w:rsidR="00C358F1" w:rsidRPr="00C358F1" w:rsidRDefault="00C358F1" w:rsidP="00C358F1">
            <w:pPr>
              <w:rPr>
                <w:rFonts w:cs="Calibri"/>
                <w:color w:val="000000"/>
              </w:rPr>
            </w:pPr>
            <w:r w:rsidRPr="00C358F1">
              <w:rPr>
                <w:rFonts w:cs="Calibri"/>
                <w:color w:val="000000"/>
              </w:rPr>
              <w:t>Denmark</w:t>
            </w:r>
          </w:p>
          <w:p w:rsidR="00C358F1" w:rsidRPr="00413660" w:rsidRDefault="00C358F1" w:rsidP="00C358F1">
            <w:pPr>
              <w:rPr>
                <w:rFonts w:cs="Calibri"/>
                <w:color w:val="000000"/>
                <w:lang w:val="es-ES"/>
              </w:rPr>
            </w:pPr>
            <w:r w:rsidRPr="00413660">
              <w:rPr>
                <w:rFonts w:cs="Calibri"/>
                <w:color w:val="000000"/>
                <w:lang w:val="es-ES"/>
              </w:rPr>
              <w:t>Djibouti</w:t>
            </w:r>
          </w:p>
          <w:p w:rsidR="00C358F1" w:rsidRPr="00413660" w:rsidRDefault="00C358F1" w:rsidP="00C358F1">
            <w:pPr>
              <w:rPr>
                <w:rFonts w:cs="Calibri"/>
                <w:color w:val="000000"/>
                <w:lang w:val="es-ES"/>
              </w:rPr>
            </w:pPr>
            <w:r w:rsidRPr="00413660">
              <w:rPr>
                <w:rFonts w:cs="Calibri"/>
                <w:color w:val="000000"/>
                <w:lang w:val="es-ES"/>
              </w:rPr>
              <w:t>Dominica</w:t>
            </w:r>
          </w:p>
          <w:p w:rsidR="00C358F1" w:rsidRPr="00413660" w:rsidRDefault="00C358F1" w:rsidP="00C358F1">
            <w:pPr>
              <w:rPr>
                <w:rFonts w:cs="Calibri"/>
                <w:color w:val="000000"/>
                <w:lang w:val="es-ES"/>
              </w:rPr>
            </w:pPr>
            <w:r w:rsidRPr="00413660">
              <w:rPr>
                <w:rFonts w:cs="Calibri"/>
                <w:color w:val="000000"/>
                <w:lang w:val="es-ES"/>
              </w:rPr>
              <w:t>Dominican Republic</w:t>
            </w:r>
          </w:p>
          <w:p w:rsidR="00C358F1" w:rsidRPr="005C586F" w:rsidRDefault="00C358F1" w:rsidP="00C358F1">
            <w:pPr>
              <w:rPr>
                <w:rFonts w:cs="Calibri"/>
                <w:color w:val="000000"/>
                <w:lang w:val="es-ES"/>
              </w:rPr>
            </w:pPr>
            <w:r w:rsidRPr="005C586F">
              <w:rPr>
                <w:rFonts w:cs="Calibri"/>
                <w:color w:val="000000"/>
                <w:lang w:val="es-ES"/>
              </w:rPr>
              <w:t>Ecuador</w:t>
            </w:r>
          </w:p>
          <w:p w:rsidR="00C358F1" w:rsidRPr="005C586F" w:rsidRDefault="00C358F1" w:rsidP="00C358F1">
            <w:pPr>
              <w:rPr>
                <w:rFonts w:cs="Calibri"/>
                <w:color w:val="000000"/>
                <w:lang w:val="es-ES"/>
              </w:rPr>
            </w:pPr>
            <w:r w:rsidRPr="005C586F">
              <w:rPr>
                <w:rFonts w:cs="Calibri"/>
                <w:color w:val="000000"/>
                <w:lang w:val="es-ES"/>
              </w:rPr>
              <w:t>Egypt</w:t>
            </w:r>
          </w:p>
          <w:p w:rsidR="00C358F1" w:rsidRPr="005C586F" w:rsidRDefault="00C358F1" w:rsidP="00C358F1">
            <w:pPr>
              <w:rPr>
                <w:rFonts w:cs="Calibri"/>
                <w:color w:val="000000"/>
                <w:lang w:val="es-ES"/>
              </w:rPr>
            </w:pPr>
            <w:r w:rsidRPr="005C586F">
              <w:rPr>
                <w:rFonts w:cs="Calibri"/>
                <w:color w:val="000000"/>
                <w:lang w:val="es-ES"/>
              </w:rPr>
              <w:t>El Salvador</w:t>
            </w:r>
          </w:p>
          <w:p w:rsidR="00C358F1" w:rsidRPr="005C586F" w:rsidRDefault="00C358F1" w:rsidP="00C358F1">
            <w:pPr>
              <w:rPr>
                <w:rFonts w:cs="Calibri"/>
                <w:color w:val="000000"/>
                <w:lang w:val="es-ES"/>
              </w:rPr>
            </w:pPr>
            <w:r w:rsidRPr="005C586F">
              <w:rPr>
                <w:rFonts w:cs="Calibri"/>
                <w:color w:val="000000"/>
                <w:lang w:val="es-ES"/>
              </w:rPr>
              <w:t>Equatorial Guinea</w:t>
            </w:r>
          </w:p>
          <w:p w:rsidR="00C358F1" w:rsidRPr="00413660" w:rsidRDefault="00C358F1" w:rsidP="00C358F1">
            <w:pPr>
              <w:rPr>
                <w:rFonts w:cs="Calibri"/>
                <w:color w:val="000000"/>
                <w:lang w:val="es-ES"/>
              </w:rPr>
            </w:pPr>
            <w:r w:rsidRPr="00413660">
              <w:rPr>
                <w:rFonts w:cs="Calibri"/>
                <w:color w:val="000000"/>
                <w:lang w:val="es-ES"/>
              </w:rPr>
              <w:t>Eritrea</w:t>
            </w:r>
          </w:p>
          <w:p w:rsidR="00C358F1" w:rsidRPr="00413660" w:rsidRDefault="00C358F1" w:rsidP="00C358F1">
            <w:pPr>
              <w:rPr>
                <w:rFonts w:cs="Calibri"/>
                <w:color w:val="000000"/>
                <w:lang w:val="es-ES"/>
              </w:rPr>
            </w:pPr>
            <w:r w:rsidRPr="00413660">
              <w:rPr>
                <w:rFonts w:cs="Calibri"/>
                <w:color w:val="000000"/>
                <w:lang w:val="es-ES"/>
              </w:rPr>
              <w:t>Estonia</w:t>
            </w:r>
          </w:p>
          <w:p w:rsidR="00C358F1" w:rsidRDefault="00C358F1" w:rsidP="00C358F1">
            <w:pPr>
              <w:rPr>
                <w:rFonts w:cs="Calibri"/>
                <w:color w:val="000000"/>
              </w:rPr>
            </w:pPr>
            <w:r w:rsidRPr="00C358F1">
              <w:rPr>
                <w:rFonts w:cs="Calibri"/>
                <w:color w:val="000000"/>
              </w:rPr>
              <w:t>Ethiopia</w:t>
            </w:r>
          </w:p>
          <w:p w:rsidR="00F97870" w:rsidRPr="00C358F1" w:rsidRDefault="00F97870" w:rsidP="00F97870">
            <w:pPr>
              <w:rPr>
                <w:rFonts w:cs="Calibri"/>
                <w:color w:val="000000"/>
              </w:rPr>
            </w:pPr>
            <w:r w:rsidRPr="00C358F1">
              <w:rPr>
                <w:rFonts w:cs="Calibri"/>
                <w:color w:val="000000"/>
              </w:rPr>
              <w:t xml:space="preserve">European Union </w:t>
            </w:r>
          </w:p>
          <w:p w:rsidR="00C358F1" w:rsidRPr="00C358F1" w:rsidRDefault="00C358F1" w:rsidP="00C358F1">
            <w:pPr>
              <w:rPr>
                <w:rFonts w:cs="Calibri"/>
                <w:color w:val="000000"/>
              </w:rPr>
            </w:pPr>
            <w:r w:rsidRPr="00C358F1">
              <w:rPr>
                <w:rFonts w:cs="Calibri"/>
                <w:color w:val="000000"/>
              </w:rPr>
              <w:t>Fiji</w:t>
            </w:r>
          </w:p>
          <w:p w:rsidR="00C358F1" w:rsidRPr="00C358F1" w:rsidRDefault="00C358F1" w:rsidP="00C358F1">
            <w:pPr>
              <w:rPr>
                <w:rFonts w:cs="Calibri"/>
                <w:color w:val="000000"/>
              </w:rPr>
            </w:pPr>
            <w:r w:rsidRPr="00C358F1">
              <w:rPr>
                <w:rFonts w:cs="Calibri"/>
                <w:color w:val="000000"/>
              </w:rPr>
              <w:t>Finland</w:t>
            </w:r>
          </w:p>
          <w:p w:rsidR="00C358F1" w:rsidRPr="00C358F1" w:rsidRDefault="00C358F1" w:rsidP="00C358F1">
            <w:pPr>
              <w:rPr>
                <w:rFonts w:cs="Calibri"/>
                <w:color w:val="000000"/>
              </w:rPr>
            </w:pPr>
            <w:r w:rsidRPr="00C358F1">
              <w:rPr>
                <w:rFonts w:cs="Calibri"/>
                <w:color w:val="000000"/>
              </w:rPr>
              <w:t>France</w:t>
            </w:r>
          </w:p>
          <w:p w:rsidR="00C358F1" w:rsidRPr="00C358F1" w:rsidRDefault="00C358F1" w:rsidP="00C358F1">
            <w:pPr>
              <w:rPr>
                <w:rFonts w:cs="Calibri"/>
                <w:color w:val="000000"/>
              </w:rPr>
            </w:pPr>
            <w:r w:rsidRPr="00C358F1">
              <w:rPr>
                <w:rFonts w:cs="Calibri"/>
                <w:color w:val="000000"/>
              </w:rPr>
              <w:t>Gabon</w:t>
            </w:r>
          </w:p>
          <w:p w:rsidR="00C358F1" w:rsidRPr="00C358F1" w:rsidRDefault="00C358F1" w:rsidP="00C358F1">
            <w:pPr>
              <w:rPr>
                <w:rFonts w:cs="Calibri"/>
                <w:color w:val="000000"/>
              </w:rPr>
            </w:pPr>
            <w:r w:rsidRPr="00C358F1">
              <w:rPr>
                <w:rFonts w:cs="Calibri"/>
                <w:color w:val="000000"/>
              </w:rPr>
              <w:t>Gambia</w:t>
            </w:r>
          </w:p>
          <w:p w:rsidR="00C358F1" w:rsidRPr="00C358F1" w:rsidRDefault="00C358F1" w:rsidP="00C358F1">
            <w:pPr>
              <w:rPr>
                <w:rFonts w:cs="Calibri"/>
                <w:color w:val="000000"/>
              </w:rPr>
            </w:pPr>
            <w:r w:rsidRPr="00C358F1">
              <w:rPr>
                <w:rFonts w:cs="Calibri"/>
                <w:color w:val="000000"/>
              </w:rPr>
              <w:t>Georgia</w:t>
            </w:r>
          </w:p>
          <w:p w:rsidR="00C358F1" w:rsidRPr="005F6815" w:rsidRDefault="00C358F1" w:rsidP="00C358F1">
            <w:pPr>
              <w:rPr>
                <w:rFonts w:cs="Calibri"/>
                <w:color w:val="000000"/>
              </w:rPr>
            </w:pPr>
            <w:r w:rsidRPr="005F6815">
              <w:rPr>
                <w:rFonts w:cs="Calibri"/>
                <w:color w:val="000000"/>
              </w:rPr>
              <w:t>Germany</w:t>
            </w:r>
          </w:p>
          <w:p w:rsidR="00C358F1" w:rsidRPr="005F6815" w:rsidRDefault="00C358F1" w:rsidP="00C358F1">
            <w:pPr>
              <w:rPr>
                <w:rFonts w:cs="Calibri"/>
                <w:color w:val="000000"/>
              </w:rPr>
            </w:pPr>
            <w:r w:rsidRPr="005F6815">
              <w:rPr>
                <w:rFonts w:cs="Calibri"/>
                <w:color w:val="000000"/>
              </w:rPr>
              <w:t>Ghana</w:t>
            </w:r>
          </w:p>
          <w:p w:rsidR="00C358F1" w:rsidRPr="005F6815" w:rsidRDefault="00C64603" w:rsidP="00C358F1">
            <w:pPr>
              <w:rPr>
                <w:rFonts w:cs="Calibri"/>
                <w:color w:val="000000"/>
              </w:rPr>
            </w:pPr>
            <w:r w:rsidRPr="005F6815">
              <w:rPr>
                <w:rFonts w:cs="Calibri"/>
                <w:color w:val="000000"/>
              </w:rPr>
              <w:t>Greece</w:t>
            </w:r>
          </w:p>
          <w:p w:rsidR="00C358F1" w:rsidRPr="00413660" w:rsidRDefault="00C358F1" w:rsidP="00C358F1">
            <w:pPr>
              <w:rPr>
                <w:rFonts w:cs="Calibri"/>
                <w:color w:val="000000"/>
                <w:lang w:val="es-ES"/>
              </w:rPr>
            </w:pPr>
            <w:r w:rsidRPr="00413660">
              <w:rPr>
                <w:rFonts w:cs="Calibri"/>
                <w:color w:val="000000"/>
                <w:lang w:val="es-ES"/>
              </w:rPr>
              <w:t>Grenada</w:t>
            </w:r>
          </w:p>
          <w:p w:rsidR="00C358F1" w:rsidRPr="005C586F" w:rsidRDefault="00C358F1" w:rsidP="00C358F1">
            <w:pPr>
              <w:rPr>
                <w:rFonts w:cs="Calibri"/>
                <w:color w:val="000000"/>
                <w:lang w:val="es-ES"/>
              </w:rPr>
            </w:pPr>
            <w:r w:rsidRPr="005C586F">
              <w:rPr>
                <w:rFonts w:cs="Calibri"/>
                <w:color w:val="000000"/>
                <w:lang w:val="es-ES"/>
              </w:rPr>
              <w:t>Guatemala</w:t>
            </w:r>
          </w:p>
          <w:p w:rsidR="00C358F1" w:rsidRPr="005C586F" w:rsidRDefault="00C358F1" w:rsidP="00C358F1">
            <w:pPr>
              <w:rPr>
                <w:rFonts w:cs="Calibri"/>
                <w:color w:val="000000"/>
                <w:lang w:val="es-ES"/>
              </w:rPr>
            </w:pPr>
            <w:r w:rsidRPr="005C586F">
              <w:rPr>
                <w:rFonts w:cs="Calibri"/>
                <w:color w:val="000000"/>
                <w:lang w:val="es-ES"/>
              </w:rPr>
              <w:t>Guinea</w:t>
            </w:r>
          </w:p>
          <w:p w:rsidR="00C358F1" w:rsidRPr="005C586F" w:rsidRDefault="00C358F1" w:rsidP="00C358F1">
            <w:pPr>
              <w:rPr>
                <w:rFonts w:cs="Calibri"/>
                <w:color w:val="000000"/>
                <w:lang w:val="es-ES"/>
              </w:rPr>
            </w:pPr>
            <w:r w:rsidRPr="005C586F">
              <w:rPr>
                <w:rFonts w:cs="Calibri"/>
                <w:color w:val="000000"/>
                <w:lang w:val="es-ES"/>
              </w:rPr>
              <w:t>Guinea-Bissau</w:t>
            </w:r>
          </w:p>
          <w:p w:rsidR="00C358F1" w:rsidRPr="005C586F" w:rsidRDefault="00C358F1" w:rsidP="00C358F1">
            <w:pPr>
              <w:rPr>
                <w:rFonts w:cs="Calibri"/>
                <w:color w:val="000000"/>
                <w:lang w:val="es-ES"/>
              </w:rPr>
            </w:pPr>
            <w:r w:rsidRPr="005C586F">
              <w:rPr>
                <w:rFonts w:cs="Calibri"/>
                <w:color w:val="000000"/>
                <w:lang w:val="es-ES"/>
              </w:rPr>
              <w:t>Guyana</w:t>
            </w:r>
          </w:p>
          <w:p w:rsidR="00C358F1" w:rsidRPr="005F6815" w:rsidRDefault="00C358F1" w:rsidP="00C358F1">
            <w:pPr>
              <w:rPr>
                <w:rFonts w:cs="Calibri"/>
                <w:color w:val="000000"/>
              </w:rPr>
            </w:pPr>
            <w:r w:rsidRPr="005F6815">
              <w:rPr>
                <w:rFonts w:cs="Calibri"/>
                <w:color w:val="000000"/>
              </w:rPr>
              <w:t>Haiti</w:t>
            </w:r>
          </w:p>
          <w:p w:rsidR="00F97870" w:rsidRPr="00566C0D" w:rsidRDefault="00F97870" w:rsidP="00F97870">
            <w:pPr>
              <w:rPr>
                <w:rFonts w:cs="Calibri"/>
                <w:color w:val="000000"/>
              </w:rPr>
            </w:pPr>
            <w:r w:rsidRPr="00C358F1">
              <w:rPr>
                <w:rFonts w:cs="Calibri"/>
                <w:color w:val="000000"/>
              </w:rPr>
              <w:t>Holy Se</w:t>
            </w:r>
            <w:r>
              <w:rPr>
                <w:rFonts w:cs="Calibri"/>
                <w:color w:val="000000"/>
              </w:rPr>
              <w:t>e</w:t>
            </w:r>
          </w:p>
          <w:p w:rsidR="00C358F1" w:rsidRPr="005F6815" w:rsidRDefault="00C358F1" w:rsidP="00C358F1">
            <w:pPr>
              <w:rPr>
                <w:rFonts w:cs="Calibri"/>
                <w:color w:val="000000"/>
              </w:rPr>
            </w:pPr>
            <w:r w:rsidRPr="005F6815">
              <w:rPr>
                <w:rFonts w:cs="Calibri"/>
                <w:color w:val="000000"/>
              </w:rPr>
              <w:t>Honduras</w:t>
            </w:r>
          </w:p>
          <w:p w:rsidR="00C358F1" w:rsidRPr="00C358F1" w:rsidRDefault="00C358F1" w:rsidP="00C358F1">
            <w:pPr>
              <w:rPr>
                <w:rFonts w:cs="Calibri"/>
                <w:color w:val="000000"/>
              </w:rPr>
            </w:pPr>
            <w:r w:rsidRPr="00C358F1">
              <w:rPr>
                <w:rFonts w:cs="Calibri"/>
                <w:color w:val="000000"/>
              </w:rPr>
              <w:t>Hungary</w:t>
            </w:r>
          </w:p>
          <w:p w:rsidR="00C358F1" w:rsidRPr="00C358F1" w:rsidRDefault="00C358F1" w:rsidP="00C358F1">
            <w:pPr>
              <w:rPr>
                <w:rFonts w:cs="Calibri"/>
                <w:color w:val="000000"/>
              </w:rPr>
            </w:pPr>
            <w:r w:rsidRPr="00C358F1">
              <w:rPr>
                <w:rFonts w:cs="Calibri"/>
                <w:color w:val="000000"/>
              </w:rPr>
              <w:t>Iceland</w:t>
            </w:r>
          </w:p>
          <w:p w:rsidR="00C358F1" w:rsidRPr="00C358F1" w:rsidRDefault="00C358F1" w:rsidP="00C358F1">
            <w:pPr>
              <w:rPr>
                <w:rFonts w:cs="Calibri"/>
                <w:color w:val="000000"/>
              </w:rPr>
            </w:pPr>
            <w:r w:rsidRPr="00C358F1">
              <w:rPr>
                <w:rFonts w:cs="Calibri"/>
                <w:color w:val="000000"/>
              </w:rPr>
              <w:t>India</w:t>
            </w:r>
          </w:p>
          <w:p w:rsidR="00C358F1" w:rsidRPr="00C358F1" w:rsidRDefault="00C358F1" w:rsidP="00C358F1">
            <w:pPr>
              <w:rPr>
                <w:rFonts w:cs="Calibri"/>
                <w:color w:val="000000"/>
              </w:rPr>
            </w:pPr>
            <w:r w:rsidRPr="00C358F1">
              <w:rPr>
                <w:rFonts w:cs="Calibri"/>
                <w:color w:val="000000"/>
              </w:rPr>
              <w:t>Indonesia</w:t>
            </w:r>
          </w:p>
          <w:p w:rsidR="00C358F1" w:rsidRPr="00C358F1" w:rsidRDefault="00602066" w:rsidP="00C358F1">
            <w:pPr>
              <w:rPr>
                <w:rFonts w:cs="Calibri"/>
                <w:color w:val="000000"/>
              </w:rPr>
            </w:pPr>
            <w:r>
              <w:rPr>
                <w:rFonts w:cs="Calibri"/>
                <w:color w:val="000000"/>
              </w:rPr>
              <w:t>(</w:t>
            </w:r>
            <w:r w:rsidR="00C358F1" w:rsidRPr="00C358F1">
              <w:rPr>
                <w:rFonts w:cs="Calibri"/>
                <w:color w:val="000000"/>
              </w:rPr>
              <w:t>Islamic Republic of</w:t>
            </w:r>
            <w:r>
              <w:rPr>
                <w:rFonts w:cs="Calibri"/>
                <w:color w:val="000000"/>
              </w:rPr>
              <w:t>)</w:t>
            </w:r>
            <w:r w:rsidR="00C358F1" w:rsidRPr="00C358F1">
              <w:rPr>
                <w:rFonts w:cs="Calibri"/>
                <w:color w:val="000000"/>
              </w:rPr>
              <w:t xml:space="preserve"> Iran</w:t>
            </w:r>
          </w:p>
          <w:p w:rsidR="00C358F1" w:rsidRPr="00413660" w:rsidRDefault="00C358F1" w:rsidP="00C358F1">
            <w:pPr>
              <w:rPr>
                <w:rFonts w:cs="Calibri"/>
                <w:color w:val="000000"/>
                <w:lang w:val="es-ES"/>
              </w:rPr>
            </w:pPr>
            <w:r w:rsidRPr="00413660">
              <w:rPr>
                <w:rFonts w:cs="Calibri"/>
                <w:color w:val="000000"/>
                <w:lang w:val="es-ES"/>
              </w:rPr>
              <w:t>Iraq</w:t>
            </w:r>
          </w:p>
          <w:p w:rsidR="00C358F1" w:rsidRPr="00413660" w:rsidRDefault="00C358F1" w:rsidP="00C358F1">
            <w:pPr>
              <w:rPr>
                <w:rFonts w:cs="Calibri"/>
                <w:color w:val="000000"/>
                <w:lang w:val="es-ES"/>
              </w:rPr>
            </w:pPr>
            <w:r w:rsidRPr="00413660">
              <w:rPr>
                <w:rFonts w:cs="Calibri"/>
                <w:color w:val="000000"/>
                <w:lang w:val="es-ES"/>
              </w:rPr>
              <w:t>Ireland</w:t>
            </w:r>
          </w:p>
          <w:p w:rsidR="00C358F1" w:rsidRPr="00413660" w:rsidRDefault="00C358F1" w:rsidP="00C358F1">
            <w:pPr>
              <w:rPr>
                <w:rFonts w:cs="Calibri"/>
                <w:color w:val="000000"/>
                <w:lang w:val="es-ES"/>
              </w:rPr>
            </w:pPr>
            <w:r w:rsidRPr="00413660">
              <w:rPr>
                <w:rFonts w:cs="Calibri"/>
                <w:color w:val="000000"/>
                <w:lang w:val="es-ES"/>
              </w:rPr>
              <w:t>Israel</w:t>
            </w:r>
          </w:p>
          <w:p w:rsidR="00C358F1" w:rsidRPr="00413660" w:rsidRDefault="00C358F1" w:rsidP="00C358F1">
            <w:pPr>
              <w:rPr>
                <w:rFonts w:cs="Calibri"/>
                <w:color w:val="000000"/>
                <w:lang w:val="es-ES"/>
              </w:rPr>
            </w:pPr>
            <w:r w:rsidRPr="00413660">
              <w:rPr>
                <w:rFonts w:cs="Calibri"/>
                <w:color w:val="000000"/>
                <w:lang w:val="es-ES"/>
              </w:rPr>
              <w:t>Italy</w:t>
            </w:r>
          </w:p>
          <w:p w:rsidR="00C358F1" w:rsidRPr="00413660" w:rsidRDefault="00C358F1" w:rsidP="00C358F1">
            <w:pPr>
              <w:rPr>
                <w:rFonts w:cs="Calibri"/>
                <w:color w:val="000000"/>
                <w:lang w:val="es-ES"/>
              </w:rPr>
            </w:pPr>
            <w:r w:rsidRPr="00413660">
              <w:rPr>
                <w:rFonts w:cs="Calibri"/>
                <w:color w:val="000000"/>
                <w:lang w:val="es-ES"/>
              </w:rPr>
              <w:t>Jamaica</w:t>
            </w:r>
          </w:p>
          <w:p w:rsidR="00C358F1" w:rsidRPr="00413660" w:rsidRDefault="00C358F1" w:rsidP="00C358F1">
            <w:pPr>
              <w:rPr>
                <w:rFonts w:cs="Calibri"/>
                <w:color w:val="000000"/>
                <w:lang w:val="es-ES"/>
              </w:rPr>
            </w:pPr>
            <w:r w:rsidRPr="00413660">
              <w:rPr>
                <w:rFonts w:cs="Calibri"/>
                <w:color w:val="000000"/>
                <w:lang w:val="es-ES"/>
              </w:rPr>
              <w:t>Japan</w:t>
            </w:r>
          </w:p>
          <w:p w:rsidR="00C358F1" w:rsidRPr="00413660" w:rsidRDefault="00C358F1" w:rsidP="00C358F1">
            <w:pPr>
              <w:rPr>
                <w:rFonts w:cs="Calibri"/>
                <w:color w:val="000000"/>
                <w:lang w:val="es-ES"/>
              </w:rPr>
            </w:pPr>
            <w:r w:rsidRPr="00413660">
              <w:rPr>
                <w:rFonts w:cs="Calibri"/>
                <w:color w:val="000000"/>
                <w:lang w:val="es-ES"/>
              </w:rPr>
              <w:t>Jordan</w:t>
            </w:r>
          </w:p>
          <w:p w:rsidR="00C358F1" w:rsidRPr="00C358F1" w:rsidRDefault="00C358F1" w:rsidP="00C358F1">
            <w:pPr>
              <w:rPr>
                <w:rFonts w:cs="Calibri"/>
                <w:color w:val="000000"/>
              </w:rPr>
            </w:pPr>
            <w:r w:rsidRPr="00C358F1">
              <w:rPr>
                <w:rFonts w:cs="Calibri"/>
                <w:color w:val="000000"/>
              </w:rPr>
              <w:t>Kazakhstan</w:t>
            </w:r>
          </w:p>
          <w:p w:rsidR="00C358F1" w:rsidRPr="00C358F1" w:rsidRDefault="00C358F1" w:rsidP="00C358F1">
            <w:pPr>
              <w:rPr>
                <w:rFonts w:cs="Calibri"/>
                <w:color w:val="000000"/>
              </w:rPr>
            </w:pPr>
            <w:r w:rsidRPr="00C358F1">
              <w:rPr>
                <w:rFonts w:cs="Calibri"/>
                <w:color w:val="000000"/>
              </w:rPr>
              <w:t>Kenya</w:t>
            </w:r>
          </w:p>
          <w:p w:rsidR="00C358F1" w:rsidRPr="00C358F1" w:rsidRDefault="00C358F1" w:rsidP="00C358F1">
            <w:pPr>
              <w:rPr>
                <w:rFonts w:cs="Calibri"/>
                <w:color w:val="000000"/>
              </w:rPr>
            </w:pPr>
            <w:r w:rsidRPr="00C358F1">
              <w:rPr>
                <w:rFonts w:cs="Calibri"/>
                <w:color w:val="000000"/>
              </w:rPr>
              <w:t>Kiribati</w:t>
            </w:r>
          </w:p>
          <w:p w:rsidR="00C358F1" w:rsidRPr="00C358F1" w:rsidRDefault="00C358F1" w:rsidP="00C358F1">
            <w:pPr>
              <w:rPr>
                <w:rFonts w:cs="Calibri"/>
                <w:color w:val="000000"/>
              </w:rPr>
            </w:pPr>
            <w:r w:rsidRPr="00C358F1">
              <w:rPr>
                <w:rFonts w:cs="Calibri"/>
                <w:color w:val="000000"/>
              </w:rPr>
              <w:t>Kuwait</w:t>
            </w:r>
          </w:p>
          <w:p w:rsidR="00C64603" w:rsidRDefault="00C64603" w:rsidP="00C358F1">
            <w:pPr>
              <w:rPr>
                <w:rFonts w:cs="Calibri"/>
                <w:color w:val="000000"/>
              </w:rPr>
            </w:pPr>
            <w:r>
              <w:rPr>
                <w:rFonts w:cs="Calibri"/>
                <w:color w:val="000000"/>
              </w:rPr>
              <w:t>Kyrgyzstan</w:t>
            </w:r>
          </w:p>
          <w:p w:rsidR="00C358F1" w:rsidRPr="00C358F1" w:rsidRDefault="00C358F1" w:rsidP="00C358F1">
            <w:pPr>
              <w:rPr>
                <w:rFonts w:cs="Calibri"/>
                <w:color w:val="000000"/>
              </w:rPr>
            </w:pPr>
            <w:r w:rsidRPr="00C358F1">
              <w:rPr>
                <w:rFonts w:cs="Calibri"/>
                <w:color w:val="000000"/>
              </w:rPr>
              <w:t>Lao People’s Democratic Republic</w:t>
            </w:r>
          </w:p>
          <w:p w:rsidR="00C358F1" w:rsidRPr="00C358F1" w:rsidRDefault="00C358F1" w:rsidP="00C358F1">
            <w:pPr>
              <w:rPr>
                <w:rFonts w:cs="Calibri"/>
                <w:color w:val="000000"/>
              </w:rPr>
            </w:pPr>
            <w:r w:rsidRPr="00C358F1">
              <w:rPr>
                <w:rFonts w:cs="Calibri"/>
                <w:color w:val="000000"/>
              </w:rPr>
              <w:t>Latvia</w:t>
            </w:r>
          </w:p>
          <w:p w:rsidR="00C358F1" w:rsidRPr="00C358F1" w:rsidRDefault="00C358F1" w:rsidP="00C358F1">
            <w:pPr>
              <w:rPr>
                <w:rFonts w:cs="Calibri"/>
                <w:color w:val="000000"/>
              </w:rPr>
            </w:pPr>
            <w:r w:rsidRPr="00C358F1">
              <w:rPr>
                <w:rFonts w:cs="Calibri"/>
                <w:color w:val="000000"/>
              </w:rPr>
              <w:t>Lebanon</w:t>
            </w:r>
          </w:p>
          <w:p w:rsidR="00C358F1" w:rsidRPr="00C358F1" w:rsidRDefault="00C358F1" w:rsidP="00C358F1">
            <w:pPr>
              <w:rPr>
                <w:rFonts w:cs="Calibri"/>
                <w:color w:val="000000"/>
              </w:rPr>
            </w:pPr>
            <w:r w:rsidRPr="00C358F1">
              <w:rPr>
                <w:rFonts w:cs="Calibri"/>
                <w:color w:val="000000"/>
              </w:rPr>
              <w:t>Lesotho</w:t>
            </w:r>
          </w:p>
          <w:p w:rsidR="00C358F1" w:rsidRPr="00C358F1" w:rsidRDefault="00C358F1" w:rsidP="00C358F1">
            <w:pPr>
              <w:rPr>
                <w:rFonts w:cs="Calibri"/>
                <w:color w:val="000000"/>
              </w:rPr>
            </w:pPr>
            <w:r w:rsidRPr="00C358F1">
              <w:rPr>
                <w:rFonts w:cs="Calibri"/>
                <w:color w:val="000000"/>
              </w:rPr>
              <w:t>Liberia</w:t>
            </w:r>
          </w:p>
          <w:p w:rsidR="00C358F1" w:rsidRPr="00C358F1" w:rsidRDefault="00C358F1" w:rsidP="00C358F1">
            <w:pPr>
              <w:rPr>
                <w:rFonts w:cs="Calibri"/>
                <w:color w:val="000000"/>
              </w:rPr>
            </w:pPr>
            <w:r w:rsidRPr="00C358F1">
              <w:rPr>
                <w:rFonts w:cs="Calibri"/>
                <w:color w:val="000000"/>
              </w:rPr>
              <w:t>Libya</w:t>
            </w:r>
          </w:p>
          <w:p w:rsidR="00C358F1" w:rsidRPr="00C358F1" w:rsidRDefault="00C358F1" w:rsidP="00C358F1">
            <w:pPr>
              <w:rPr>
                <w:rFonts w:cs="Calibri"/>
                <w:color w:val="000000"/>
              </w:rPr>
            </w:pPr>
            <w:r w:rsidRPr="00C358F1">
              <w:rPr>
                <w:rFonts w:cs="Calibri"/>
                <w:color w:val="000000"/>
              </w:rPr>
              <w:t>Liechtenstein</w:t>
            </w:r>
          </w:p>
          <w:p w:rsidR="00C358F1" w:rsidRPr="00C358F1" w:rsidRDefault="00C358F1" w:rsidP="00C358F1">
            <w:pPr>
              <w:rPr>
                <w:rFonts w:cs="Calibri"/>
                <w:color w:val="000000"/>
              </w:rPr>
            </w:pPr>
            <w:r w:rsidRPr="00C358F1">
              <w:rPr>
                <w:rFonts w:cs="Calibri"/>
                <w:color w:val="000000"/>
              </w:rPr>
              <w:t>Lithuania</w:t>
            </w:r>
          </w:p>
          <w:p w:rsidR="00C358F1" w:rsidRPr="00C358F1" w:rsidRDefault="00C358F1" w:rsidP="00C358F1">
            <w:pPr>
              <w:rPr>
                <w:rFonts w:cs="Calibri"/>
                <w:color w:val="000000"/>
              </w:rPr>
            </w:pPr>
            <w:r w:rsidRPr="00C358F1">
              <w:rPr>
                <w:rFonts w:cs="Calibri"/>
                <w:color w:val="000000"/>
              </w:rPr>
              <w:t>Luxembourg</w:t>
            </w:r>
          </w:p>
          <w:p w:rsidR="00C358F1" w:rsidRPr="00413660" w:rsidRDefault="00C358F1" w:rsidP="00C358F1">
            <w:pPr>
              <w:rPr>
                <w:rFonts w:cs="Calibri"/>
                <w:color w:val="000000"/>
                <w:lang w:val="es-ES"/>
              </w:rPr>
            </w:pPr>
            <w:r w:rsidRPr="00413660">
              <w:rPr>
                <w:rFonts w:cs="Calibri"/>
                <w:color w:val="000000"/>
                <w:lang w:val="es-ES"/>
              </w:rPr>
              <w:t>Madagascar</w:t>
            </w:r>
          </w:p>
          <w:p w:rsidR="00C358F1" w:rsidRPr="00413660" w:rsidRDefault="00C358F1" w:rsidP="00C358F1">
            <w:pPr>
              <w:rPr>
                <w:rFonts w:cs="Calibri"/>
                <w:color w:val="000000"/>
                <w:lang w:val="es-ES"/>
              </w:rPr>
            </w:pPr>
            <w:r w:rsidRPr="00413660">
              <w:rPr>
                <w:rFonts w:cs="Calibri"/>
                <w:color w:val="000000"/>
                <w:lang w:val="es-ES"/>
              </w:rPr>
              <w:t>Malawi</w:t>
            </w:r>
          </w:p>
          <w:p w:rsidR="00C358F1" w:rsidRPr="00413660" w:rsidRDefault="00C358F1" w:rsidP="00C358F1">
            <w:pPr>
              <w:rPr>
                <w:rFonts w:cs="Calibri"/>
                <w:color w:val="000000"/>
                <w:lang w:val="es-ES"/>
              </w:rPr>
            </w:pPr>
            <w:r w:rsidRPr="00413660">
              <w:rPr>
                <w:rFonts w:cs="Calibri"/>
                <w:color w:val="000000"/>
                <w:lang w:val="es-ES"/>
              </w:rPr>
              <w:t>Malaysia</w:t>
            </w:r>
          </w:p>
          <w:p w:rsidR="00C358F1" w:rsidRPr="00413660" w:rsidRDefault="00C358F1" w:rsidP="00C358F1">
            <w:pPr>
              <w:rPr>
                <w:rFonts w:cs="Calibri"/>
                <w:color w:val="000000"/>
                <w:lang w:val="es-ES"/>
              </w:rPr>
            </w:pPr>
            <w:r w:rsidRPr="00413660">
              <w:rPr>
                <w:rFonts w:cs="Calibri"/>
                <w:color w:val="000000"/>
                <w:lang w:val="es-ES"/>
              </w:rPr>
              <w:t>Maldives</w:t>
            </w:r>
          </w:p>
          <w:p w:rsidR="00C358F1" w:rsidRPr="00413660" w:rsidRDefault="00C358F1" w:rsidP="00C358F1">
            <w:pPr>
              <w:rPr>
                <w:rFonts w:cs="Calibri"/>
                <w:color w:val="000000"/>
                <w:lang w:val="es-ES"/>
              </w:rPr>
            </w:pPr>
            <w:r w:rsidRPr="00413660">
              <w:rPr>
                <w:rFonts w:cs="Calibri"/>
                <w:color w:val="000000"/>
                <w:lang w:val="es-ES"/>
              </w:rPr>
              <w:t>Mali</w:t>
            </w:r>
          </w:p>
          <w:p w:rsidR="00C358F1" w:rsidRPr="00413660" w:rsidRDefault="00C358F1" w:rsidP="00C358F1">
            <w:pPr>
              <w:rPr>
                <w:rFonts w:cs="Calibri"/>
                <w:color w:val="000000"/>
                <w:lang w:val="es-ES"/>
              </w:rPr>
            </w:pPr>
            <w:r w:rsidRPr="00413660">
              <w:rPr>
                <w:rFonts w:cs="Calibri"/>
                <w:color w:val="000000"/>
                <w:lang w:val="es-ES"/>
              </w:rPr>
              <w:t>Malta</w:t>
            </w:r>
          </w:p>
          <w:p w:rsidR="00C358F1" w:rsidRPr="00413660" w:rsidRDefault="00C358F1" w:rsidP="00C358F1">
            <w:pPr>
              <w:rPr>
                <w:rFonts w:cs="Calibri"/>
                <w:color w:val="000000"/>
                <w:lang w:val="es-ES"/>
              </w:rPr>
            </w:pPr>
            <w:r w:rsidRPr="00413660">
              <w:rPr>
                <w:rFonts w:cs="Calibri"/>
                <w:color w:val="000000"/>
                <w:lang w:val="es-ES"/>
              </w:rPr>
              <w:t>Marshall Islands</w:t>
            </w:r>
          </w:p>
          <w:p w:rsidR="00C358F1" w:rsidRPr="00413660" w:rsidRDefault="00C358F1" w:rsidP="00C358F1">
            <w:pPr>
              <w:rPr>
                <w:rFonts w:cs="Calibri"/>
                <w:color w:val="000000"/>
                <w:lang w:val="es-ES"/>
              </w:rPr>
            </w:pPr>
            <w:r w:rsidRPr="00413660">
              <w:rPr>
                <w:rFonts w:cs="Calibri"/>
                <w:color w:val="000000"/>
                <w:lang w:val="es-ES"/>
              </w:rPr>
              <w:t>Mauritania</w:t>
            </w:r>
          </w:p>
          <w:p w:rsidR="00C358F1" w:rsidRPr="00413660" w:rsidRDefault="00C358F1" w:rsidP="00C358F1">
            <w:pPr>
              <w:rPr>
                <w:rFonts w:cs="Calibri"/>
                <w:color w:val="000000"/>
                <w:lang w:val="es-ES"/>
              </w:rPr>
            </w:pPr>
            <w:r w:rsidRPr="00413660">
              <w:rPr>
                <w:rFonts w:cs="Calibri"/>
                <w:color w:val="000000"/>
                <w:lang w:val="es-ES"/>
              </w:rPr>
              <w:t>Mauritius</w:t>
            </w:r>
          </w:p>
          <w:p w:rsidR="00C358F1" w:rsidRPr="00413660" w:rsidRDefault="00C64603" w:rsidP="00C358F1">
            <w:pPr>
              <w:rPr>
                <w:rFonts w:cs="Calibri"/>
                <w:color w:val="000000"/>
                <w:lang w:val="es-ES"/>
              </w:rPr>
            </w:pPr>
            <w:r w:rsidRPr="00413660">
              <w:rPr>
                <w:rFonts w:cs="Calibri"/>
                <w:color w:val="000000"/>
                <w:lang w:val="es-ES"/>
              </w:rPr>
              <w:t>Mexico</w:t>
            </w:r>
          </w:p>
          <w:p w:rsidR="00C358F1" w:rsidRPr="00413660" w:rsidRDefault="00C358F1" w:rsidP="00C358F1">
            <w:pPr>
              <w:rPr>
                <w:rFonts w:cs="Calibri"/>
                <w:color w:val="000000"/>
                <w:lang w:val="es-ES"/>
              </w:rPr>
            </w:pPr>
            <w:r w:rsidRPr="00413660">
              <w:rPr>
                <w:rFonts w:cs="Calibri"/>
                <w:color w:val="000000"/>
                <w:lang w:val="es-ES"/>
              </w:rPr>
              <w:t>Micronesia</w:t>
            </w:r>
          </w:p>
          <w:p w:rsidR="00C358F1" w:rsidRPr="00413660" w:rsidRDefault="00C358F1" w:rsidP="00C358F1">
            <w:pPr>
              <w:rPr>
                <w:rFonts w:cs="Calibri"/>
                <w:color w:val="000000"/>
                <w:lang w:val="es-ES"/>
              </w:rPr>
            </w:pPr>
            <w:r w:rsidRPr="00413660">
              <w:rPr>
                <w:rFonts w:cs="Calibri"/>
                <w:color w:val="000000"/>
                <w:lang w:val="es-ES"/>
              </w:rPr>
              <w:t>Monaco</w:t>
            </w:r>
          </w:p>
          <w:p w:rsidR="00C358F1" w:rsidRPr="00413660" w:rsidRDefault="00C358F1" w:rsidP="00C358F1">
            <w:pPr>
              <w:rPr>
                <w:rFonts w:cs="Calibri"/>
                <w:color w:val="000000"/>
                <w:lang w:val="es-ES"/>
              </w:rPr>
            </w:pPr>
            <w:r w:rsidRPr="00413660">
              <w:rPr>
                <w:rFonts w:cs="Calibri"/>
                <w:color w:val="000000"/>
                <w:lang w:val="es-ES"/>
              </w:rPr>
              <w:t>Mongolia</w:t>
            </w:r>
          </w:p>
          <w:p w:rsidR="00C358F1" w:rsidRPr="00413660" w:rsidRDefault="00C358F1" w:rsidP="00C358F1">
            <w:pPr>
              <w:rPr>
                <w:rFonts w:cs="Calibri"/>
                <w:color w:val="000000"/>
                <w:lang w:val="es-ES"/>
              </w:rPr>
            </w:pPr>
            <w:r w:rsidRPr="00413660">
              <w:rPr>
                <w:rFonts w:cs="Calibri"/>
                <w:color w:val="000000"/>
                <w:lang w:val="es-ES"/>
              </w:rPr>
              <w:t>Montenegro</w:t>
            </w:r>
          </w:p>
          <w:p w:rsidR="00C358F1" w:rsidRPr="005C586F" w:rsidRDefault="00C358F1" w:rsidP="00C358F1">
            <w:pPr>
              <w:rPr>
                <w:rFonts w:cs="Calibri"/>
                <w:color w:val="000000"/>
                <w:lang w:val="es-ES"/>
              </w:rPr>
            </w:pPr>
            <w:r w:rsidRPr="005C586F">
              <w:rPr>
                <w:rFonts w:cs="Calibri"/>
                <w:color w:val="000000"/>
                <w:lang w:val="es-ES"/>
              </w:rPr>
              <w:t>Morocco</w:t>
            </w:r>
          </w:p>
          <w:p w:rsidR="00C358F1" w:rsidRPr="005C586F" w:rsidRDefault="00C358F1" w:rsidP="00C358F1">
            <w:pPr>
              <w:rPr>
                <w:rFonts w:cs="Calibri"/>
                <w:color w:val="000000"/>
                <w:lang w:val="es-ES"/>
              </w:rPr>
            </w:pPr>
            <w:r w:rsidRPr="005C586F">
              <w:rPr>
                <w:rFonts w:cs="Calibri"/>
                <w:color w:val="000000"/>
                <w:lang w:val="es-ES"/>
              </w:rPr>
              <w:t>Mozambique</w:t>
            </w:r>
          </w:p>
          <w:p w:rsidR="00C358F1" w:rsidRPr="005C586F" w:rsidRDefault="00C358F1" w:rsidP="00C358F1">
            <w:pPr>
              <w:rPr>
                <w:rFonts w:cs="Calibri"/>
                <w:color w:val="000000"/>
                <w:lang w:val="es-ES"/>
              </w:rPr>
            </w:pPr>
            <w:r w:rsidRPr="005C586F">
              <w:rPr>
                <w:rFonts w:cs="Calibri"/>
                <w:color w:val="000000"/>
                <w:lang w:val="es-ES"/>
              </w:rPr>
              <w:t>Myanmar</w:t>
            </w:r>
          </w:p>
          <w:p w:rsidR="00C358F1" w:rsidRPr="005C586F" w:rsidRDefault="00C358F1" w:rsidP="00C358F1">
            <w:pPr>
              <w:rPr>
                <w:rFonts w:cs="Calibri"/>
                <w:color w:val="000000"/>
                <w:lang w:val="es-ES"/>
              </w:rPr>
            </w:pPr>
            <w:r w:rsidRPr="005C586F">
              <w:rPr>
                <w:rFonts w:cs="Calibri"/>
                <w:color w:val="000000"/>
                <w:lang w:val="es-ES"/>
              </w:rPr>
              <w:t>Namibia</w:t>
            </w:r>
          </w:p>
          <w:p w:rsidR="00C358F1" w:rsidRPr="005C586F" w:rsidRDefault="00C358F1" w:rsidP="00C358F1">
            <w:pPr>
              <w:rPr>
                <w:rFonts w:cs="Calibri"/>
                <w:color w:val="000000"/>
                <w:lang w:val="es-ES"/>
              </w:rPr>
            </w:pPr>
            <w:r w:rsidRPr="005C586F">
              <w:rPr>
                <w:rFonts w:cs="Calibri"/>
                <w:color w:val="000000"/>
                <w:lang w:val="es-ES"/>
              </w:rPr>
              <w:t>Nauru</w:t>
            </w:r>
          </w:p>
          <w:p w:rsidR="00C358F1" w:rsidRPr="005C586F" w:rsidRDefault="00C358F1" w:rsidP="00C358F1">
            <w:pPr>
              <w:rPr>
                <w:rFonts w:cs="Calibri"/>
                <w:color w:val="000000"/>
                <w:lang w:val="es-ES"/>
              </w:rPr>
            </w:pPr>
            <w:r w:rsidRPr="005C586F">
              <w:rPr>
                <w:rFonts w:cs="Calibri"/>
                <w:color w:val="000000"/>
                <w:lang w:val="es-ES"/>
              </w:rPr>
              <w:t>Nepal</w:t>
            </w:r>
          </w:p>
          <w:p w:rsidR="00C358F1" w:rsidRPr="00C358F1" w:rsidRDefault="00C358F1" w:rsidP="00C358F1">
            <w:pPr>
              <w:rPr>
                <w:rFonts w:cs="Calibri"/>
                <w:color w:val="000000"/>
              </w:rPr>
            </w:pPr>
            <w:r w:rsidRPr="00C358F1">
              <w:rPr>
                <w:rFonts w:cs="Calibri"/>
                <w:color w:val="000000"/>
              </w:rPr>
              <w:t>Netherlands</w:t>
            </w:r>
          </w:p>
          <w:p w:rsidR="00C358F1" w:rsidRPr="00C358F1" w:rsidRDefault="00C358F1" w:rsidP="00C358F1">
            <w:pPr>
              <w:rPr>
                <w:rFonts w:cs="Calibri"/>
                <w:color w:val="000000"/>
              </w:rPr>
            </w:pPr>
            <w:r w:rsidRPr="00C358F1">
              <w:rPr>
                <w:rFonts w:cs="Calibri"/>
                <w:color w:val="000000"/>
              </w:rPr>
              <w:t>New Zealand</w:t>
            </w:r>
          </w:p>
          <w:p w:rsidR="00C358F1" w:rsidRPr="00413660" w:rsidRDefault="00C358F1" w:rsidP="00C358F1">
            <w:pPr>
              <w:rPr>
                <w:rFonts w:cs="Calibri"/>
                <w:color w:val="000000"/>
              </w:rPr>
            </w:pPr>
            <w:r w:rsidRPr="00413660">
              <w:rPr>
                <w:rFonts w:cs="Calibri"/>
                <w:color w:val="000000"/>
              </w:rPr>
              <w:t>Nicaragua</w:t>
            </w:r>
          </w:p>
          <w:p w:rsidR="00C358F1" w:rsidRPr="00413660" w:rsidRDefault="00C358F1" w:rsidP="00C358F1">
            <w:pPr>
              <w:rPr>
                <w:rFonts w:cs="Calibri"/>
                <w:color w:val="000000"/>
              </w:rPr>
            </w:pPr>
            <w:r w:rsidRPr="00413660">
              <w:rPr>
                <w:rFonts w:cs="Calibri"/>
                <w:color w:val="000000"/>
              </w:rPr>
              <w:t>Niger</w:t>
            </w:r>
          </w:p>
          <w:p w:rsidR="00C358F1" w:rsidRPr="00413660" w:rsidRDefault="00C358F1" w:rsidP="00C358F1">
            <w:pPr>
              <w:rPr>
                <w:rFonts w:cs="Calibri"/>
                <w:color w:val="000000"/>
              </w:rPr>
            </w:pPr>
            <w:r w:rsidRPr="00413660">
              <w:rPr>
                <w:rFonts w:cs="Calibri"/>
                <w:color w:val="000000"/>
              </w:rPr>
              <w:t>Nigeria</w:t>
            </w:r>
          </w:p>
          <w:p w:rsidR="00C358F1" w:rsidRPr="00413660" w:rsidRDefault="00C358F1" w:rsidP="00C358F1">
            <w:pPr>
              <w:rPr>
                <w:rFonts w:cs="Calibri"/>
                <w:color w:val="000000"/>
              </w:rPr>
            </w:pPr>
            <w:r w:rsidRPr="00413660">
              <w:rPr>
                <w:rFonts w:cs="Calibri"/>
                <w:color w:val="000000"/>
              </w:rPr>
              <w:t>Norway</w:t>
            </w:r>
          </w:p>
          <w:p w:rsidR="00C358F1" w:rsidRPr="005C586F" w:rsidRDefault="00C358F1" w:rsidP="00C358F1">
            <w:pPr>
              <w:rPr>
                <w:rFonts w:cs="Calibri"/>
                <w:color w:val="000000"/>
                <w:lang w:val="es-ES"/>
              </w:rPr>
            </w:pPr>
            <w:r w:rsidRPr="005C586F">
              <w:rPr>
                <w:rFonts w:cs="Calibri"/>
                <w:color w:val="000000"/>
                <w:lang w:val="es-ES"/>
              </w:rPr>
              <w:t>Oman</w:t>
            </w:r>
          </w:p>
          <w:p w:rsidR="00C358F1" w:rsidRPr="005C586F" w:rsidRDefault="00C358F1" w:rsidP="00C358F1">
            <w:pPr>
              <w:rPr>
                <w:rFonts w:cs="Calibri"/>
                <w:color w:val="000000"/>
                <w:lang w:val="es-ES"/>
              </w:rPr>
            </w:pPr>
            <w:r w:rsidRPr="005C586F">
              <w:rPr>
                <w:rFonts w:cs="Calibri"/>
                <w:color w:val="000000"/>
                <w:lang w:val="es-ES"/>
              </w:rPr>
              <w:t>Pakistan</w:t>
            </w:r>
          </w:p>
          <w:p w:rsidR="00C358F1" w:rsidRPr="00413660" w:rsidRDefault="00C358F1" w:rsidP="00C358F1">
            <w:pPr>
              <w:rPr>
                <w:rFonts w:cs="Calibri"/>
                <w:color w:val="000000"/>
                <w:lang w:val="es-ES"/>
              </w:rPr>
            </w:pPr>
            <w:r w:rsidRPr="00413660">
              <w:rPr>
                <w:rFonts w:cs="Calibri"/>
                <w:color w:val="000000"/>
                <w:lang w:val="es-ES"/>
              </w:rPr>
              <w:t>Palau</w:t>
            </w:r>
          </w:p>
          <w:p w:rsidR="00C358F1" w:rsidRPr="00413660" w:rsidRDefault="00602066" w:rsidP="00C358F1">
            <w:pPr>
              <w:rPr>
                <w:rFonts w:cs="Calibri"/>
                <w:color w:val="000000"/>
                <w:lang w:val="es-ES"/>
              </w:rPr>
            </w:pPr>
            <w:r w:rsidRPr="00413660">
              <w:rPr>
                <w:rFonts w:cs="Calibri"/>
                <w:color w:val="000000"/>
                <w:lang w:val="es-ES"/>
              </w:rPr>
              <w:t>Panama</w:t>
            </w:r>
          </w:p>
          <w:p w:rsidR="00C358F1" w:rsidRPr="00413660" w:rsidRDefault="00C358F1" w:rsidP="00C358F1">
            <w:pPr>
              <w:rPr>
                <w:rFonts w:cs="Calibri"/>
                <w:color w:val="000000"/>
                <w:lang w:val="es-ES"/>
              </w:rPr>
            </w:pPr>
            <w:r w:rsidRPr="00413660">
              <w:rPr>
                <w:rFonts w:cs="Calibri"/>
                <w:color w:val="000000"/>
                <w:lang w:val="es-ES"/>
              </w:rPr>
              <w:t>Papua New Guinea</w:t>
            </w:r>
          </w:p>
          <w:p w:rsidR="00C358F1" w:rsidRPr="00C358F1" w:rsidRDefault="00C358F1" w:rsidP="00C358F1">
            <w:pPr>
              <w:rPr>
                <w:rFonts w:cs="Calibri"/>
                <w:color w:val="000000"/>
              </w:rPr>
            </w:pPr>
            <w:r w:rsidRPr="00C358F1">
              <w:rPr>
                <w:rFonts w:cs="Calibri"/>
                <w:color w:val="000000"/>
              </w:rPr>
              <w:t>Paraguay</w:t>
            </w:r>
          </w:p>
          <w:p w:rsidR="00C358F1" w:rsidRPr="00C358F1" w:rsidRDefault="00C358F1" w:rsidP="00C358F1">
            <w:pPr>
              <w:rPr>
                <w:rFonts w:cs="Calibri"/>
                <w:color w:val="000000"/>
              </w:rPr>
            </w:pPr>
            <w:r w:rsidRPr="00C358F1">
              <w:rPr>
                <w:rFonts w:cs="Calibri"/>
                <w:color w:val="000000"/>
              </w:rPr>
              <w:t>Peru</w:t>
            </w:r>
          </w:p>
          <w:p w:rsidR="00C358F1" w:rsidRPr="00C358F1" w:rsidRDefault="00C358F1" w:rsidP="00C358F1">
            <w:pPr>
              <w:rPr>
                <w:rFonts w:cs="Calibri"/>
                <w:color w:val="000000"/>
              </w:rPr>
            </w:pPr>
            <w:r w:rsidRPr="00C358F1">
              <w:rPr>
                <w:rFonts w:cs="Calibri"/>
                <w:color w:val="000000"/>
              </w:rPr>
              <w:t>Philippines</w:t>
            </w:r>
          </w:p>
          <w:p w:rsidR="00C358F1" w:rsidRPr="00C358F1" w:rsidRDefault="00C358F1" w:rsidP="00C358F1">
            <w:pPr>
              <w:rPr>
                <w:rFonts w:cs="Calibri"/>
                <w:color w:val="000000"/>
              </w:rPr>
            </w:pPr>
            <w:r w:rsidRPr="00C358F1">
              <w:rPr>
                <w:rFonts w:cs="Calibri"/>
                <w:color w:val="000000"/>
              </w:rPr>
              <w:t>Poland</w:t>
            </w:r>
          </w:p>
          <w:p w:rsidR="00C358F1" w:rsidRPr="00C358F1" w:rsidRDefault="00C358F1" w:rsidP="00C358F1">
            <w:pPr>
              <w:rPr>
                <w:rFonts w:cs="Calibri"/>
                <w:color w:val="000000"/>
              </w:rPr>
            </w:pPr>
            <w:r w:rsidRPr="00C358F1">
              <w:rPr>
                <w:rFonts w:cs="Calibri"/>
                <w:color w:val="000000"/>
              </w:rPr>
              <w:t>Portugal</w:t>
            </w:r>
          </w:p>
          <w:p w:rsidR="00C358F1" w:rsidRPr="00C358F1" w:rsidRDefault="00C358F1" w:rsidP="00C358F1">
            <w:pPr>
              <w:rPr>
                <w:rFonts w:cs="Calibri"/>
                <w:color w:val="000000"/>
              </w:rPr>
            </w:pPr>
            <w:r w:rsidRPr="00C358F1">
              <w:rPr>
                <w:rFonts w:cs="Calibri"/>
                <w:color w:val="000000"/>
              </w:rPr>
              <w:t>Qatar</w:t>
            </w:r>
          </w:p>
          <w:p w:rsidR="00C358F1" w:rsidRPr="00C358F1" w:rsidRDefault="00C358F1" w:rsidP="00C358F1">
            <w:pPr>
              <w:rPr>
                <w:rFonts w:cs="Calibri"/>
                <w:color w:val="000000"/>
              </w:rPr>
            </w:pPr>
            <w:r w:rsidRPr="00C358F1">
              <w:rPr>
                <w:rFonts w:cs="Calibri"/>
                <w:color w:val="000000"/>
              </w:rPr>
              <w:t>Republic of Korea</w:t>
            </w:r>
          </w:p>
          <w:p w:rsidR="00C358F1" w:rsidRPr="00C358F1" w:rsidRDefault="00C358F1" w:rsidP="00C358F1">
            <w:pPr>
              <w:rPr>
                <w:rFonts w:cs="Calibri"/>
                <w:color w:val="000000"/>
              </w:rPr>
            </w:pPr>
            <w:r w:rsidRPr="00C358F1">
              <w:rPr>
                <w:rFonts w:cs="Calibri"/>
                <w:color w:val="000000"/>
              </w:rPr>
              <w:t>Moldova</w:t>
            </w:r>
          </w:p>
          <w:p w:rsidR="00C358F1" w:rsidRPr="00C358F1" w:rsidRDefault="00C358F1" w:rsidP="00C358F1">
            <w:pPr>
              <w:rPr>
                <w:rFonts w:cs="Calibri"/>
                <w:color w:val="000000"/>
              </w:rPr>
            </w:pPr>
            <w:r w:rsidRPr="00C358F1">
              <w:rPr>
                <w:rFonts w:cs="Calibri"/>
                <w:color w:val="000000"/>
              </w:rPr>
              <w:t>Romania</w:t>
            </w:r>
          </w:p>
          <w:p w:rsidR="00C358F1" w:rsidRPr="00C358F1" w:rsidRDefault="00C358F1" w:rsidP="00C358F1">
            <w:pPr>
              <w:rPr>
                <w:rFonts w:cs="Calibri"/>
                <w:color w:val="000000"/>
              </w:rPr>
            </w:pPr>
            <w:r w:rsidRPr="00C358F1">
              <w:rPr>
                <w:rFonts w:cs="Calibri"/>
                <w:color w:val="000000"/>
              </w:rPr>
              <w:t>Russian Federation</w:t>
            </w:r>
          </w:p>
          <w:p w:rsidR="00C358F1" w:rsidRPr="00C358F1" w:rsidRDefault="00C358F1" w:rsidP="00C358F1">
            <w:pPr>
              <w:rPr>
                <w:rFonts w:cs="Calibri"/>
                <w:color w:val="000000"/>
              </w:rPr>
            </w:pPr>
            <w:r w:rsidRPr="00C358F1">
              <w:rPr>
                <w:rFonts w:cs="Calibri"/>
                <w:color w:val="000000"/>
              </w:rPr>
              <w:t>Rwanda</w:t>
            </w:r>
          </w:p>
          <w:p w:rsidR="00C358F1" w:rsidRPr="00C358F1" w:rsidRDefault="00C358F1" w:rsidP="00C358F1">
            <w:pPr>
              <w:rPr>
                <w:rFonts w:cs="Calibri"/>
                <w:color w:val="000000"/>
              </w:rPr>
            </w:pPr>
            <w:r w:rsidRPr="00C358F1">
              <w:rPr>
                <w:rFonts w:cs="Calibri"/>
                <w:color w:val="000000"/>
              </w:rPr>
              <w:t>Saint Kitts and Nevis</w:t>
            </w:r>
          </w:p>
          <w:p w:rsidR="00C358F1" w:rsidRPr="00C358F1" w:rsidRDefault="00C358F1" w:rsidP="00C358F1">
            <w:pPr>
              <w:rPr>
                <w:rFonts w:cs="Calibri"/>
                <w:color w:val="000000"/>
              </w:rPr>
            </w:pPr>
            <w:r w:rsidRPr="00C358F1">
              <w:rPr>
                <w:rFonts w:cs="Calibri"/>
                <w:color w:val="000000"/>
              </w:rPr>
              <w:t>Saint Lucia</w:t>
            </w:r>
          </w:p>
          <w:p w:rsidR="00C358F1" w:rsidRPr="00C358F1" w:rsidRDefault="00C358F1" w:rsidP="00C358F1">
            <w:pPr>
              <w:rPr>
                <w:rFonts w:cs="Calibri"/>
                <w:color w:val="000000"/>
              </w:rPr>
            </w:pPr>
            <w:r w:rsidRPr="00C358F1">
              <w:rPr>
                <w:rFonts w:cs="Calibri"/>
                <w:color w:val="000000"/>
              </w:rPr>
              <w:t>Saint Vincent and the Grenadines</w:t>
            </w:r>
          </w:p>
          <w:p w:rsidR="00C358F1" w:rsidRPr="00C358F1" w:rsidRDefault="00C358F1" w:rsidP="00C358F1">
            <w:pPr>
              <w:rPr>
                <w:rFonts w:cs="Calibri"/>
                <w:color w:val="000000"/>
              </w:rPr>
            </w:pPr>
            <w:r w:rsidRPr="00C358F1">
              <w:rPr>
                <w:rFonts w:cs="Calibri"/>
                <w:color w:val="000000"/>
              </w:rPr>
              <w:t>Samoa</w:t>
            </w:r>
          </w:p>
          <w:p w:rsidR="00C358F1" w:rsidRPr="00C358F1" w:rsidRDefault="00C358F1" w:rsidP="00C358F1">
            <w:pPr>
              <w:rPr>
                <w:rFonts w:cs="Calibri"/>
                <w:color w:val="000000"/>
              </w:rPr>
            </w:pPr>
            <w:r w:rsidRPr="00C358F1">
              <w:rPr>
                <w:rFonts w:cs="Calibri"/>
                <w:color w:val="000000"/>
              </w:rPr>
              <w:t>San Marino</w:t>
            </w:r>
          </w:p>
          <w:p w:rsidR="00C358F1" w:rsidRPr="00C358F1" w:rsidRDefault="00C358F1" w:rsidP="00C358F1">
            <w:pPr>
              <w:rPr>
                <w:rFonts w:cs="Calibri"/>
                <w:color w:val="000000"/>
              </w:rPr>
            </w:pPr>
            <w:r w:rsidRPr="00C358F1">
              <w:rPr>
                <w:rFonts w:cs="Calibri"/>
                <w:color w:val="000000"/>
              </w:rPr>
              <w:t>Sao Tome and Principe</w:t>
            </w:r>
          </w:p>
          <w:p w:rsidR="00C358F1" w:rsidRPr="00413660" w:rsidRDefault="00C358F1" w:rsidP="00C358F1">
            <w:pPr>
              <w:rPr>
                <w:rFonts w:cs="Calibri"/>
                <w:color w:val="000000"/>
                <w:lang w:val="es-ES"/>
              </w:rPr>
            </w:pPr>
            <w:r w:rsidRPr="00413660">
              <w:rPr>
                <w:rFonts w:cs="Calibri"/>
                <w:color w:val="000000"/>
                <w:lang w:val="es-ES"/>
              </w:rPr>
              <w:t>Saudi Arabia</w:t>
            </w:r>
          </w:p>
          <w:p w:rsidR="00C358F1" w:rsidRPr="005C586F" w:rsidRDefault="00C358F1" w:rsidP="00C358F1">
            <w:pPr>
              <w:rPr>
                <w:rFonts w:cs="Calibri"/>
                <w:color w:val="000000"/>
                <w:lang w:val="es-ES"/>
              </w:rPr>
            </w:pPr>
            <w:r w:rsidRPr="005C586F">
              <w:rPr>
                <w:rFonts w:cs="Calibri"/>
                <w:color w:val="000000"/>
                <w:lang w:val="es-ES"/>
              </w:rPr>
              <w:t>Senegal</w:t>
            </w:r>
          </w:p>
          <w:p w:rsidR="00C358F1" w:rsidRPr="005C586F" w:rsidRDefault="00C358F1" w:rsidP="00C358F1">
            <w:pPr>
              <w:rPr>
                <w:rFonts w:cs="Calibri"/>
                <w:color w:val="000000"/>
                <w:lang w:val="es-ES"/>
              </w:rPr>
            </w:pPr>
            <w:r w:rsidRPr="005C586F">
              <w:rPr>
                <w:rFonts w:cs="Calibri"/>
                <w:color w:val="000000"/>
                <w:lang w:val="es-ES"/>
              </w:rPr>
              <w:t>Serbia</w:t>
            </w:r>
          </w:p>
          <w:p w:rsidR="00C358F1" w:rsidRPr="005C586F" w:rsidRDefault="00C358F1" w:rsidP="00C358F1">
            <w:pPr>
              <w:rPr>
                <w:rFonts w:cs="Calibri"/>
                <w:color w:val="000000"/>
                <w:lang w:val="es-ES"/>
              </w:rPr>
            </w:pPr>
            <w:r w:rsidRPr="005C586F">
              <w:rPr>
                <w:rFonts w:cs="Calibri"/>
                <w:color w:val="000000"/>
                <w:lang w:val="es-ES"/>
              </w:rPr>
              <w:t>Seychelles</w:t>
            </w:r>
          </w:p>
          <w:p w:rsidR="00C358F1" w:rsidRPr="005C586F" w:rsidRDefault="00C358F1" w:rsidP="00C358F1">
            <w:pPr>
              <w:rPr>
                <w:rFonts w:cs="Calibri"/>
                <w:color w:val="000000"/>
                <w:lang w:val="es-ES"/>
              </w:rPr>
            </w:pPr>
            <w:r w:rsidRPr="005C586F">
              <w:rPr>
                <w:rFonts w:cs="Calibri"/>
                <w:color w:val="000000"/>
                <w:lang w:val="es-ES"/>
              </w:rPr>
              <w:t>Sierra Leone</w:t>
            </w:r>
          </w:p>
          <w:p w:rsidR="00C358F1" w:rsidRPr="00413660" w:rsidRDefault="00C358F1" w:rsidP="00C358F1">
            <w:pPr>
              <w:rPr>
                <w:rFonts w:cs="Calibri"/>
                <w:color w:val="000000"/>
              </w:rPr>
            </w:pPr>
            <w:r w:rsidRPr="00413660">
              <w:rPr>
                <w:rFonts w:cs="Calibri"/>
                <w:color w:val="000000"/>
              </w:rPr>
              <w:t>Singapore</w:t>
            </w:r>
          </w:p>
          <w:p w:rsidR="00C358F1" w:rsidRPr="00C358F1" w:rsidRDefault="00C358F1" w:rsidP="00C358F1">
            <w:pPr>
              <w:rPr>
                <w:rFonts w:cs="Calibri"/>
                <w:color w:val="000000"/>
              </w:rPr>
            </w:pPr>
            <w:r w:rsidRPr="00C358F1">
              <w:rPr>
                <w:rFonts w:cs="Calibri"/>
                <w:color w:val="000000"/>
              </w:rPr>
              <w:t>Slovak</w:t>
            </w:r>
            <w:r w:rsidR="00186C53">
              <w:rPr>
                <w:rFonts w:cs="Calibri"/>
                <w:color w:val="000000"/>
              </w:rPr>
              <w:t>ia</w:t>
            </w:r>
            <w:r w:rsidRPr="00C358F1">
              <w:rPr>
                <w:rFonts w:cs="Calibri"/>
                <w:color w:val="000000"/>
              </w:rPr>
              <w:t xml:space="preserve"> </w:t>
            </w:r>
          </w:p>
          <w:p w:rsidR="00C358F1" w:rsidRPr="00C358F1" w:rsidRDefault="00C358F1" w:rsidP="00C358F1">
            <w:pPr>
              <w:rPr>
                <w:rFonts w:cs="Calibri"/>
                <w:color w:val="000000"/>
              </w:rPr>
            </w:pPr>
            <w:r w:rsidRPr="00C358F1">
              <w:rPr>
                <w:rFonts w:cs="Calibri"/>
                <w:color w:val="000000"/>
              </w:rPr>
              <w:t>Slovenia</w:t>
            </w:r>
          </w:p>
          <w:p w:rsidR="00C358F1" w:rsidRPr="00C358F1" w:rsidRDefault="00C358F1" w:rsidP="00C358F1">
            <w:pPr>
              <w:rPr>
                <w:rFonts w:cs="Calibri"/>
                <w:color w:val="000000"/>
              </w:rPr>
            </w:pPr>
            <w:r w:rsidRPr="00C358F1">
              <w:rPr>
                <w:rFonts w:cs="Calibri"/>
                <w:color w:val="000000"/>
              </w:rPr>
              <w:t>Solomon Islands</w:t>
            </w:r>
          </w:p>
          <w:p w:rsidR="00C358F1" w:rsidRPr="00C358F1" w:rsidRDefault="00C358F1" w:rsidP="00C358F1">
            <w:pPr>
              <w:rPr>
                <w:rFonts w:cs="Calibri"/>
                <w:color w:val="000000"/>
              </w:rPr>
            </w:pPr>
            <w:r w:rsidRPr="00C358F1">
              <w:rPr>
                <w:rFonts w:cs="Calibri"/>
                <w:color w:val="000000"/>
              </w:rPr>
              <w:t>Somali</w:t>
            </w:r>
            <w:r w:rsidR="00186C53">
              <w:rPr>
                <w:rFonts w:cs="Calibri"/>
                <w:color w:val="000000"/>
              </w:rPr>
              <w:t>a</w:t>
            </w:r>
            <w:r w:rsidRPr="00C358F1">
              <w:rPr>
                <w:rFonts w:cs="Calibri"/>
                <w:color w:val="000000"/>
              </w:rPr>
              <w:t xml:space="preserve"> </w:t>
            </w:r>
          </w:p>
          <w:p w:rsidR="00C358F1" w:rsidRPr="00C358F1" w:rsidRDefault="00C358F1" w:rsidP="00C358F1">
            <w:pPr>
              <w:rPr>
                <w:rFonts w:cs="Calibri"/>
                <w:color w:val="000000"/>
              </w:rPr>
            </w:pPr>
            <w:r w:rsidRPr="00C358F1">
              <w:rPr>
                <w:rFonts w:cs="Calibri"/>
                <w:color w:val="000000"/>
              </w:rPr>
              <w:t>South Africa</w:t>
            </w:r>
          </w:p>
          <w:p w:rsidR="00C358F1" w:rsidRPr="00C358F1" w:rsidRDefault="00C358F1" w:rsidP="00C358F1">
            <w:pPr>
              <w:rPr>
                <w:rFonts w:cs="Calibri"/>
                <w:color w:val="000000"/>
              </w:rPr>
            </w:pPr>
            <w:r w:rsidRPr="00C358F1">
              <w:rPr>
                <w:rFonts w:cs="Calibri"/>
                <w:color w:val="000000"/>
              </w:rPr>
              <w:t>Spain</w:t>
            </w:r>
          </w:p>
          <w:p w:rsidR="00C358F1" w:rsidRPr="00C358F1" w:rsidRDefault="00C358F1" w:rsidP="00C358F1">
            <w:pPr>
              <w:rPr>
                <w:rFonts w:cs="Calibri"/>
                <w:color w:val="000000"/>
              </w:rPr>
            </w:pPr>
            <w:r w:rsidRPr="00C358F1">
              <w:rPr>
                <w:rFonts w:cs="Calibri"/>
                <w:color w:val="000000"/>
              </w:rPr>
              <w:t>Sri Lanka</w:t>
            </w:r>
          </w:p>
          <w:p w:rsidR="00C358F1" w:rsidRPr="00C358F1" w:rsidRDefault="00C358F1" w:rsidP="00C358F1">
            <w:pPr>
              <w:rPr>
                <w:rFonts w:cs="Calibri"/>
                <w:color w:val="000000"/>
              </w:rPr>
            </w:pPr>
            <w:r w:rsidRPr="00C358F1">
              <w:rPr>
                <w:rFonts w:cs="Calibri"/>
                <w:color w:val="000000"/>
              </w:rPr>
              <w:t>Sudan</w:t>
            </w:r>
          </w:p>
          <w:p w:rsidR="00C358F1" w:rsidRPr="00C358F1" w:rsidRDefault="00C358F1" w:rsidP="00C358F1">
            <w:pPr>
              <w:rPr>
                <w:rFonts w:cs="Calibri"/>
                <w:color w:val="000000"/>
              </w:rPr>
            </w:pPr>
            <w:r w:rsidRPr="00C358F1">
              <w:rPr>
                <w:rFonts w:cs="Calibri"/>
                <w:color w:val="000000"/>
              </w:rPr>
              <w:t>Suriname</w:t>
            </w:r>
          </w:p>
          <w:p w:rsidR="00C358F1" w:rsidRPr="00C358F1" w:rsidRDefault="00C358F1" w:rsidP="00C358F1">
            <w:pPr>
              <w:rPr>
                <w:rFonts w:cs="Calibri"/>
                <w:color w:val="000000"/>
              </w:rPr>
            </w:pPr>
            <w:r w:rsidRPr="00C358F1">
              <w:rPr>
                <w:rFonts w:cs="Calibri"/>
                <w:color w:val="000000"/>
              </w:rPr>
              <w:t>Swaziland</w:t>
            </w:r>
          </w:p>
          <w:p w:rsidR="00C358F1" w:rsidRPr="00C358F1" w:rsidRDefault="00C358F1" w:rsidP="00C358F1">
            <w:pPr>
              <w:rPr>
                <w:rFonts w:cs="Calibri"/>
                <w:color w:val="000000"/>
              </w:rPr>
            </w:pPr>
            <w:r w:rsidRPr="00C358F1">
              <w:rPr>
                <w:rFonts w:cs="Calibri"/>
                <w:color w:val="000000"/>
              </w:rPr>
              <w:t>Sweden</w:t>
            </w:r>
          </w:p>
          <w:p w:rsidR="00C358F1" w:rsidRPr="00C358F1" w:rsidRDefault="00186C53" w:rsidP="00C358F1">
            <w:pPr>
              <w:rPr>
                <w:rFonts w:cs="Calibri"/>
                <w:color w:val="000000"/>
              </w:rPr>
            </w:pPr>
            <w:r>
              <w:rPr>
                <w:rFonts w:cs="Calibri"/>
                <w:color w:val="000000"/>
              </w:rPr>
              <w:t>Switzerland</w:t>
            </w:r>
          </w:p>
          <w:p w:rsidR="00C358F1" w:rsidRPr="00C358F1" w:rsidRDefault="00C358F1" w:rsidP="00C358F1">
            <w:pPr>
              <w:rPr>
                <w:rFonts w:cs="Calibri"/>
                <w:color w:val="000000"/>
              </w:rPr>
            </w:pPr>
            <w:r w:rsidRPr="00C358F1">
              <w:rPr>
                <w:rFonts w:cs="Calibri"/>
                <w:color w:val="000000"/>
              </w:rPr>
              <w:t>Syrian Arab Republic</w:t>
            </w:r>
          </w:p>
          <w:p w:rsidR="00C358F1" w:rsidRPr="00C358F1" w:rsidRDefault="00C358F1" w:rsidP="00C358F1">
            <w:pPr>
              <w:rPr>
                <w:rFonts w:cs="Calibri"/>
                <w:color w:val="000000"/>
              </w:rPr>
            </w:pPr>
            <w:r w:rsidRPr="00C358F1">
              <w:rPr>
                <w:rFonts w:cs="Calibri"/>
                <w:color w:val="000000"/>
              </w:rPr>
              <w:t>Tajikistan</w:t>
            </w:r>
          </w:p>
          <w:p w:rsidR="00C358F1" w:rsidRPr="00C358F1" w:rsidRDefault="00C358F1" w:rsidP="00C358F1">
            <w:pPr>
              <w:rPr>
                <w:rFonts w:cs="Calibri"/>
                <w:color w:val="000000"/>
              </w:rPr>
            </w:pPr>
            <w:r w:rsidRPr="00C358F1">
              <w:rPr>
                <w:rFonts w:cs="Calibri"/>
                <w:color w:val="000000"/>
              </w:rPr>
              <w:t>Thailand</w:t>
            </w:r>
          </w:p>
          <w:p w:rsidR="00C358F1" w:rsidRPr="00C358F1" w:rsidRDefault="00C358F1" w:rsidP="00C358F1">
            <w:pPr>
              <w:rPr>
                <w:rFonts w:cs="Calibri"/>
                <w:color w:val="000000"/>
              </w:rPr>
            </w:pPr>
            <w:r w:rsidRPr="00C358F1">
              <w:rPr>
                <w:rFonts w:cs="Calibri"/>
                <w:color w:val="000000"/>
              </w:rPr>
              <w:t>The former Yugoslav Republic of Macedonia</w:t>
            </w:r>
          </w:p>
          <w:p w:rsidR="00C358F1" w:rsidRPr="00C358F1" w:rsidRDefault="00C358F1" w:rsidP="00C358F1">
            <w:pPr>
              <w:rPr>
                <w:rFonts w:cs="Calibri"/>
                <w:color w:val="000000"/>
              </w:rPr>
            </w:pPr>
            <w:r w:rsidRPr="00C358F1">
              <w:rPr>
                <w:rFonts w:cs="Calibri"/>
                <w:color w:val="000000"/>
              </w:rPr>
              <w:t>Timor-Leste</w:t>
            </w:r>
          </w:p>
          <w:p w:rsidR="00C358F1" w:rsidRPr="00C358F1" w:rsidRDefault="00C358F1" w:rsidP="00C358F1">
            <w:pPr>
              <w:rPr>
                <w:rFonts w:cs="Calibri"/>
                <w:color w:val="000000"/>
              </w:rPr>
            </w:pPr>
            <w:r w:rsidRPr="00C358F1">
              <w:rPr>
                <w:rFonts w:cs="Calibri"/>
                <w:color w:val="000000"/>
              </w:rPr>
              <w:t>Togo</w:t>
            </w:r>
          </w:p>
          <w:p w:rsidR="00C358F1" w:rsidRPr="00C358F1" w:rsidRDefault="00C358F1" w:rsidP="00C358F1">
            <w:pPr>
              <w:rPr>
                <w:rFonts w:cs="Calibri"/>
                <w:color w:val="000000"/>
              </w:rPr>
            </w:pPr>
            <w:r w:rsidRPr="00C358F1">
              <w:rPr>
                <w:rFonts w:cs="Calibri"/>
                <w:color w:val="000000"/>
              </w:rPr>
              <w:t>Tonga</w:t>
            </w:r>
          </w:p>
          <w:p w:rsidR="00C358F1" w:rsidRPr="00C358F1" w:rsidRDefault="00C358F1" w:rsidP="00C358F1">
            <w:pPr>
              <w:rPr>
                <w:rFonts w:cs="Calibri"/>
                <w:color w:val="000000"/>
              </w:rPr>
            </w:pPr>
            <w:r w:rsidRPr="00C358F1">
              <w:rPr>
                <w:rFonts w:cs="Calibri"/>
                <w:color w:val="000000"/>
              </w:rPr>
              <w:t>Trinidad and Tobago</w:t>
            </w:r>
          </w:p>
          <w:p w:rsidR="00C358F1" w:rsidRPr="00C358F1" w:rsidRDefault="00C358F1" w:rsidP="00C358F1">
            <w:pPr>
              <w:rPr>
                <w:rFonts w:cs="Calibri"/>
                <w:color w:val="000000"/>
              </w:rPr>
            </w:pPr>
            <w:r w:rsidRPr="00C358F1">
              <w:rPr>
                <w:rFonts w:cs="Calibri"/>
                <w:color w:val="000000"/>
              </w:rPr>
              <w:t>Tunisia</w:t>
            </w:r>
          </w:p>
          <w:p w:rsidR="00C358F1" w:rsidRPr="00C358F1" w:rsidRDefault="00C358F1" w:rsidP="00C358F1">
            <w:pPr>
              <w:rPr>
                <w:rFonts w:cs="Calibri"/>
                <w:color w:val="000000"/>
              </w:rPr>
            </w:pPr>
            <w:r w:rsidRPr="00C358F1">
              <w:rPr>
                <w:rFonts w:cs="Calibri"/>
                <w:color w:val="000000"/>
              </w:rPr>
              <w:t>Turkey</w:t>
            </w:r>
          </w:p>
          <w:p w:rsidR="00C358F1" w:rsidRPr="00C358F1" w:rsidRDefault="00C358F1" w:rsidP="00C358F1">
            <w:pPr>
              <w:rPr>
                <w:rFonts w:cs="Calibri"/>
                <w:color w:val="000000"/>
              </w:rPr>
            </w:pPr>
            <w:r w:rsidRPr="00C358F1">
              <w:rPr>
                <w:rFonts w:cs="Calibri"/>
                <w:color w:val="000000"/>
              </w:rPr>
              <w:t>Turkmenistan</w:t>
            </w:r>
          </w:p>
          <w:p w:rsidR="00C358F1" w:rsidRPr="00C358F1" w:rsidRDefault="00C358F1" w:rsidP="00C358F1">
            <w:pPr>
              <w:rPr>
                <w:rFonts w:cs="Calibri"/>
                <w:color w:val="000000"/>
              </w:rPr>
            </w:pPr>
            <w:r w:rsidRPr="00C358F1">
              <w:rPr>
                <w:rFonts w:cs="Calibri"/>
                <w:color w:val="000000"/>
              </w:rPr>
              <w:t>Tuvalu</w:t>
            </w:r>
          </w:p>
          <w:p w:rsidR="00C358F1" w:rsidRPr="00C358F1" w:rsidRDefault="00C358F1" w:rsidP="00C358F1">
            <w:pPr>
              <w:rPr>
                <w:rFonts w:cs="Calibri"/>
                <w:color w:val="000000"/>
              </w:rPr>
            </w:pPr>
            <w:r w:rsidRPr="00C358F1">
              <w:rPr>
                <w:rFonts w:cs="Calibri"/>
                <w:color w:val="000000"/>
              </w:rPr>
              <w:t>Uganda</w:t>
            </w:r>
          </w:p>
          <w:p w:rsidR="00C358F1" w:rsidRPr="00C358F1" w:rsidRDefault="00C358F1" w:rsidP="00C358F1">
            <w:pPr>
              <w:rPr>
                <w:rFonts w:cs="Calibri"/>
                <w:color w:val="000000"/>
              </w:rPr>
            </w:pPr>
            <w:r w:rsidRPr="00C358F1">
              <w:rPr>
                <w:rFonts w:cs="Calibri"/>
                <w:color w:val="000000"/>
              </w:rPr>
              <w:t>Ukraine</w:t>
            </w:r>
          </w:p>
          <w:p w:rsidR="00C358F1" w:rsidRPr="00C358F1" w:rsidRDefault="00C358F1" w:rsidP="00C358F1">
            <w:pPr>
              <w:rPr>
                <w:rFonts w:cs="Calibri"/>
                <w:color w:val="000000"/>
              </w:rPr>
            </w:pPr>
            <w:r w:rsidRPr="00C358F1">
              <w:rPr>
                <w:rFonts w:cs="Calibri"/>
                <w:color w:val="000000"/>
              </w:rPr>
              <w:t>United Arab Emirates</w:t>
            </w:r>
          </w:p>
          <w:p w:rsidR="00C358F1" w:rsidRPr="00C358F1" w:rsidRDefault="00C358F1" w:rsidP="00C358F1">
            <w:pPr>
              <w:rPr>
                <w:rFonts w:cs="Calibri"/>
                <w:color w:val="000000"/>
              </w:rPr>
            </w:pPr>
            <w:r w:rsidRPr="00C358F1">
              <w:rPr>
                <w:rFonts w:cs="Calibri"/>
                <w:color w:val="000000"/>
              </w:rPr>
              <w:t>United Kingdom of Great Britain and Northern Ireland</w:t>
            </w:r>
          </w:p>
          <w:p w:rsidR="00C358F1" w:rsidRPr="00C358F1" w:rsidRDefault="00C358F1" w:rsidP="00C358F1">
            <w:pPr>
              <w:rPr>
                <w:rFonts w:cs="Calibri"/>
                <w:color w:val="000000"/>
              </w:rPr>
            </w:pPr>
            <w:r w:rsidRPr="00C358F1">
              <w:rPr>
                <w:rFonts w:cs="Calibri"/>
                <w:color w:val="000000"/>
              </w:rPr>
              <w:t>Tanzania</w:t>
            </w:r>
          </w:p>
          <w:p w:rsidR="00C358F1" w:rsidRPr="00C358F1" w:rsidRDefault="00C358F1" w:rsidP="00C358F1">
            <w:pPr>
              <w:rPr>
                <w:rFonts w:cs="Calibri"/>
                <w:color w:val="000000"/>
              </w:rPr>
            </w:pPr>
            <w:r w:rsidRPr="00C358F1">
              <w:rPr>
                <w:rFonts w:cs="Calibri"/>
                <w:color w:val="000000"/>
              </w:rPr>
              <w:t>United States of America</w:t>
            </w:r>
          </w:p>
          <w:p w:rsidR="00C358F1" w:rsidRPr="00413660" w:rsidRDefault="00C358F1" w:rsidP="00C358F1">
            <w:pPr>
              <w:rPr>
                <w:rFonts w:cs="Calibri"/>
                <w:color w:val="000000"/>
              </w:rPr>
            </w:pPr>
            <w:r w:rsidRPr="00413660">
              <w:rPr>
                <w:rFonts w:cs="Calibri"/>
                <w:color w:val="000000"/>
              </w:rPr>
              <w:t>Uruguay</w:t>
            </w:r>
          </w:p>
          <w:p w:rsidR="00C358F1" w:rsidRPr="00413660" w:rsidRDefault="00C358F1" w:rsidP="00C358F1">
            <w:pPr>
              <w:rPr>
                <w:rFonts w:cs="Calibri"/>
                <w:color w:val="000000"/>
              </w:rPr>
            </w:pPr>
            <w:r w:rsidRPr="00413660">
              <w:rPr>
                <w:rFonts w:cs="Calibri"/>
                <w:color w:val="000000"/>
              </w:rPr>
              <w:t>Uzbekistan</w:t>
            </w:r>
          </w:p>
          <w:p w:rsidR="00C358F1" w:rsidRPr="00413660" w:rsidRDefault="00C358F1" w:rsidP="00C358F1">
            <w:pPr>
              <w:rPr>
                <w:rFonts w:cs="Calibri"/>
                <w:color w:val="000000"/>
              </w:rPr>
            </w:pPr>
            <w:r w:rsidRPr="00413660">
              <w:rPr>
                <w:rFonts w:cs="Calibri"/>
                <w:color w:val="000000"/>
              </w:rPr>
              <w:t>Vanuatu</w:t>
            </w:r>
          </w:p>
          <w:p w:rsidR="00C358F1" w:rsidRPr="00413660" w:rsidRDefault="00602066" w:rsidP="00C358F1">
            <w:pPr>
              <w:rPr>
                <w:rFonts w:cs="Calibri"/>
                <w:color w:val="000000"/>
              </w:rPr>
            </w:pPr>
            <w:r w:rsidRPr="00413660">
              <w:rPr>
                <w:rFonts w:cs="Calibri"/>
                <w:color w:val="000000"/>
              </w:rPr>
              <w:t>(</w:t>
            </w:r>
            <w:r w:rsidR="00C358F1" w:rsidRPr="00413660">
              <w:rPr>
                <w:rFonts w:cs="Calibri"/>
                <w:color w:val="000000"/>
              </w:rPr>
              <w:t>Bolivarian Republic of</w:t>
            </w:r>
            <w:r w:rsidRPr="00413660">
              <w:rPr>
                <w:rFonts w:cs="Calibri"/>
                <w:color w:val="000000"/>
              </w:rPr>
              <w:t>)</w:t>
            </w:r>
            <w:r w:rsidR="00C358F1" w:rsidRPr="00413660">
              <w:rPr>
                <w:rFonts w:cs="Calibri"/>
                <w:color w:val="000000"/>
              </w:rPr>
              <w:t xml:space="preserve"> Venezuela</w:t>
            </w:r>
          </w:p>
          <w:p w:rsidR="00C358F1" w:rsidRPr="00C358F1" w:rsidRDefault="00C358F1" w:rsidP="00C358F1">
            <w:pPr>
              <w:rPr>
                <w:rFonts w:cs="Calibri"/>
                <w:color w:val="000000"/>
              </w:rPr>
            </w:pPr>
            <w:r w:rsidRPr="00C358F1">
              <w:rPr>
                <w:rFonts w:cs="Calibri"/>
                <w:color w:val="000000"/>
              </w:rPr>
              <w:t>Socialist Republic of Viet Nam</w:t>
            </w:r>
          </w:p>
          <w:p w:rsidR="00C358F1" w:rsidRPr="00C358F1" w:rsidRDefault="00C358F1" w:rsidP="00C358F1">
            <w:pPr>
              <w:rPr>
                <w:rFonts w:cs="Calibri"/>
                <w:color w:val="000000"/>
              </w:rPr>
            </w:pPr>
            <w:r w:rsidRPr="00C358F1">
              <w:rPr>
                <w:rFonts w:cs="Calibri"/>
                <w:color w:val="000000"/>
              </w:rPr>
              <w:t>Yemen</w:t>
            </w:r>
          </w:p>
          <w:p w:rsidR="00C358F1" w:rsidRPr="00C358F1" w:rsidRDefault="00C358F1" w:rsidP="00C358F1">
            <w:pPr>
              <w:rPr>
                <w:rFonts w:cs="Calibri"/>
                <w:color w:val="000000"/>
              </w:rPr>
            </w:pPr>
            <w:r w:rsidRPr="00C358F1">
              <w:rPr>
                <w:rFonts w:cs="Calibri"/>
                <w:color w:val="000000"/>
              </w:rPr>
              <w:t>Zambia</w:t>
            </w:r>
          </w:p>
          <w:p w:rsidR="00C358F1" w:rsidRPr="00C358F1" w:rsidRDefault="00C358F1" w:rsidP="00C358F1">
            <w:pPr>
              <w:rPr>
                <w:rFonts w:cs="Calibri"/>
                <w:color w:val="000000"/>
              </w:rPr>
            </w:pPr>
            <w:r w:rsidRPr="00C358F1">
              <w:rPr>
                <w:rFonts w:cs="Calibri"/>
                <w:color w:val="000000"/>
              </w:rPr>
              <w:t>Zimbabwe</w:t>
            </w:r>
          </w:p>
          <w:p w:rsidR="00A068FB" w:rsidRPr="00566C0D" w:rsidRDefault="00A068FB" w:rsidP="0046094F">
            <w:pPr>
              <w:rPr>
                <w:rFonts w:cs="Calibri"/>
                <w:color w:val="000000"/>
              </w:rPr>
            </w:pPr>
          </w:p>
          <w:p w:rsidR="00A068FB" w:rsidRPr="00566C0D" w:rsidRDefault="00A068FB" w:rsidP="0046094F">
            <w:pPr>
              <w:rPr>
                <w:rFonts w:cs="Calibri"/>
                <w:color w:val="000000"/>
              </w:rPr>
            </w:pPr>
          </w:p>
          <w:p w:rsidR="00A068FB" w:rsidRPr="00566C0D" w:rsidRDefault="00A068FB" w:rsidP="00155A8E">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bl>
    <w:p w:rsidR="00A068FB" w:rsidRPr="00427E9C" w:rsidRDefault="00A068FB" w:rsidP="006719E3">
      <w:pPr>
        <w:pStyle w:val="ListParagraph"/>
        <w:spacing w:after="0" w:line="240" w:lineRule="auto"/>
        <w:ind w:left="765"/>
        <w:rPr>
          <w:rFonts w:cs="Calibri"/>
          <w:lang w:val="en-US"/>
        </w:rPr>
      </w:pPr>
    </w:p>
    <w:sectPr w:rsidR="00A068FB" w:rsidRPr="00427E9C" w:rsidSect="00950E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D3" w:rsidRDefault="003703D3" w:rsidP="00E11EB9">
      <w:pPr>
        <w:spacing w:after="0" w:line="240" w:lineRule="auto"/>
      </w:pPr>
      <w:r>
        <w:separator/>
      </w:r>
    </w:p>
  </w:endnote>
  <w:endnote w:type="continuationSeparator" w:id="0">
    <w:p w:rsidR="003703D3" w:rsidRDefault="003703D3" w:rsidP="00E1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BA" w:rsidRDefault="008D7ABA">
    <w:pPr>
      <w:pStyle w:val="Footer"/>
      <w:pBdr>
        <w:top w:val="single" w:sz="4" w:space="1" w:color="D9D9D9"/>
      </w:pBdr>
      <w:jc w:val="right"/>
    </w:pPr>
    <w:r>
      <w:fldChar w:fldCharType="begin"/>
    </w:r>
    <w:r>
      <w:instrText xml:space="preserve"> PAGE   \* MERGEFORMAT </w:instrText>
    </w:r>
    <w:r>
      <w:fldChar w:fldCharType="separate"/>
    </w:r>
    <w:r w:rsidR="00D04A49">
      <w:rPr>
        <w:noProof/>
      </w:rPr>
      <w:t>1</w:t>
    </w:r>
    <w:r>
      <w:rPr>
        <w:noProof/>
      </w:rPr>
      <w:fldChar w:fldCharType="end"/>
    </w:r>
    <w:r>
      <w:t xml:space="preserve"> | </w:t>
    </w:r>
    <w:r>
      <w:rPr>
        <w:color w:val="808080"/>
        <w:spacing w:val="60"/>
      </w:rPr>
      <w:t>Page</w:t>
    </w:r>
  </w:p>
  <w:p w:rsidR="008D7ABA" w:rsidRDefault="008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D3" w:rsidRDefault="003703D3" w:rsidP="00E11EB9">
      <w:pPr>
        <w:spacing w:after="0" w:line="240" w:lineRule="auto"/>
      </w:pPr>
      <w:r>
        <w:separator/>
      </w:r>
    </w:p>
  </w:footnote>
  <w:footnote w:type="continuationSeparator" w:id="0">
    <w:p w:rsidR="003703D3" w:rsidRDefault="003703D3" w:rsidP="00E11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FA29A6"/>
    <w:lvl w:ilvl="0">
      <w:numFmt w:val="bullet"/>
      <w:lvlText w:val="*"/>
      <w:lvlJc w:val="left"/>
    </w:lvl>
  </w:abstractNum>
  <w:abstractNum w:abstractNumId="1">
    <w:nsid w:val="14DE3D5F"/>
    <w:multiLevelType w:val="hybridMultilevel"/>
    <w:tmpl w:val="4816E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FD2226"/>
    <w:multiLevelType w:val="hybridMultilevel"/>
    <w:tmpl w:val="A3DA9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F3245B0"/>
    <w:multiLevelType w:val="hybridMultilevel"/>
    <w:tmpl w:val="78EA0C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2B36DF"/>
    <w:multiLevelType w:val="hybridMultilevel"/>
    <w:tmpl w:val="8E3AA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9FF0949"/>
    <w:multiLevelType w:val="hybridMultilevel"/>
    <w:tmpl w:val="BFE2D57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17942CE"/>
    <w:multiLevelType w:val="hybridMultilevel"/>
    <w:tmpl w:val="9B88346E"/>
    <w:lvl w:ilvl="0" w:tplc="0809000F">
      <w:start w:val="1"/>
      <w:numFmt w:val="decimal"/>
      <w:lvlText w:val="%1."/>
      <w:lvlJc w:val="left"/>
      <w:pPr>
        <w:ind w:left="1637"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56AC3FE5"/>
    <w:multiLevelType w:val="hybridMultilevel"/>
    <w:tmpl w:val="1B02A5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9556B4"/>
    <w:multiLevelType w:val="hybridMultilevel"/>
    <w:tmpl w:val="F5742F36"/>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9">
    <w:nsid w:val="60FA2362"/>
    <w:multiLevelType w:val="hybridMultilevel"/>
    <w:tmpl w:val="D8245866"/>
    <w:lvl w:ilvl="0" w:tplc="0809000F">
      <w:start w:val="1"/>
      <w:numFmt w:val="decimal"/>
      <w:lvlText w:val="%1."/>
      <w:lvlJc w:val="left"/>
      <w:pPr>
        <w:ind w:left="1637"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6175193F"/>
    <w:multiLevelType w:val="hybridMultilevel"/>
    <w:tmpl w:val="9B6CFF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5E053A"/>
    <w:multiLevelType w:val="hybridMultilevel"/>
    <w:tmpl w:val="8B64F62A"/>
    <w:lvl w:ilvl="0" w:tplc="08090003">
      <w:start w:val="1"/>
      <w:numFmt w:val="bullet"/>
      <w:lvlText w:val="o"/>
      <w:lvlJc w:val="left"/>
      <w:pPr>
        <w:ind w:left="1920" w:hanging="360"/>
      </w:pPr>
      <w:rPr>
        <w:rFonts w:ascii="Courier New" w:hAnsi="Courier New" w:hint="default"/>
      </w:rPr>
    </w:lvl>
    <w:lvl w:ilvl="1" w:tplc="08090003">
      <w:start w:val="1"/>
      <w:numFmt w:val="bullet"/>
      <w:lvlText w:val="o"/>
      <w:lvlJc w:val="left"/>
      <w:pPr>
        <w:ind w:left="2640" w:hanging="360"/>
      </w:pPr>
      <w:rPr>
        <w:rFonts w:ascii="Courier New" w:hAnsi="Courier New" w:hint="default"/>
      </w:rPr>
    </w:lvl>
    <w:lvl w:ilvl="2" w:tplc="08090003">
      <w:start w:val="1"/>
      <w:numFmt w:val="bullet"/>
      <w:lvlText w:val="o"/>
      <w:lvlJc w:val="left"/>
      <w:pPr>
        <w:ind w:left="3720" w:hanging="720"/>
      </w:pPr>
      <w:rPr>
        <w:rFonts w:ascii="Courier New" w:hAnsi="Courier New" w:hint="default"/>
        <w:b w:val="0"/>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nsid w:val="6C942F6F"/>
    <w:multiLevelType w:val="hybridMultilevel"/>
    <w:tmpl w:val="427C0E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4012535"/>
    <w:multiLevelType w:val="hybridMultilevel"/>
    <w:tmpl w:val="40F8E73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11"/>
  </w:num>
  <w:num w:numId="7">
    <w:abstractNumId w:val="5"/>
  </w:num>
  <w:num w:numId="8">
    <w:abstractNumId w:val="13"/>
  </w:num>
  <w:num w:numId="9">
    <w:abstractNumId w:val="7"/>
  </w:num>
  <w:num w:numId="10">
    <w:abstractNumId w:val="10"/>
  </w:num>
  <w:num w:numId="11">
    <w:abstractNumId w:val="12"/>
  </w:num>
  <w:num w:numId="12">
    <w:abstractNumId w:val="3"/>
  </w:num>
  <w:num w:numId="13">
    <w:abstractNumId w:val="9"/>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14"/>
    <w:rsid w:val="00005272"/>
    <w:rsid w:val="0000788E"/>
    <w:rsid w:val="00010BFC"/>
    <w:rsid w:val="00012241"/>
    <w:rsid w:val="00015584"/>
    <w:rsid w:val="0002378B"/>
    <w:rsid w:val="00044FFC"/>
    <w:rsid w:val="00046F28"/>
    <w:rsid w:val="00050436"/>
    <w:rsid w:val="00054F52"/>
    <w:rsid w:val="000572D5"/>
    <w:rsid w:val="0007587F"/>
    <w:rsid w:val="0008070E"/>
    <w:rsid w:val="00085FC0"/>
    <w:rsid w:val="00086145"/>
    <w:rsid w:val="00091DB8"/>
    <w:rsid w:val="000931FB"/>
    <w:rsid w:val="000A17FC"/>
    <w:rsid w:val="000A2367"/>
    <w:rsid w:val="000A7385"/>
    <w:rsid w:val="000B51C2"/>
    <w:rsid w:val="000B5C0F"/>
    <w:rsid w:val="000C0B27"/>
    <w:rsid w:val="000C127E"/>
    <w:rsid w:val="000C77BD"/>
    <w:rsid w:val="000E43F2"/>
    <w:rsid w:val="000F2EEC"/>
    <w:rsid w:val="000F542A"/>
    <w:rsid w:val="000F63DC"/>
    <w:rsid w:val="00104F2C"/>
    <w:rsid w:val="0012322A"/>
    <w:rsid w:val="0013031F"/>
    <w:rsid w:val="00132510"/>
    <w:rsid w:val="001342CD"/>
    <w:rsid w:val="001412AC"/>
    <w:rsid w:val="0014652F"/>
    <w:rsid w:val="00155A8E"/>
    <w:rsid w:val="001566B4"/>
    <w:rsid w:val="00160CEE"/>
    <w:rsid w:val="001625DD"/>
    <w:rsid w:val="00166AC2"/>
    <w:rsid w:val="0017355F"/>
    <w:rsid w:val="001775EC"/>
    <w:rsid w:val="00180980"/>
    <w:rsid w:val="0018118C"/>
    <w:rsid w:val="00185BD9"/>
    <w:rsid w:val="00186C53"/>
    <w:rsid w:val="00196AE8"/>
    <w:rsid w:val="001C11D4"/>
    <w:rsid w:val="001C4CE9"/>
    <w:rsid w:val="001D3EFB"/>
    <w:rsid w:val="001D6DD8"/>
    <w:rsid w:val="001E1CAC"/>
    <w:rsid w:val="001E3F49"/>
    <w:rsid w:val="001E41C0"/>
    <w:rsid w:val="001E4311"/>
    <w:rsid w:val="001F3766"/>
    <w:rsid w:val="001F48E2"/>
    <w:rsid w:val="00201353"/>
    <w:rsid w:val="00245E1F"/>
    <w:rsid w:val="00250054"/>
    <w:rsid w:val="0026059B"/>
    <w:rsid w:val="00272317"/>
    <w:rsid w:val="002741F9"/>
    <w:rsid w:val="00280EBA"/>
    <w:rsid w:val="00281C33"/>
    <w:rsid w:val="002820FD"/>
    <w:rsid w:val="002944F3"/>
    <w:rsid w:val="00294BFE"/>
    <w:rsid w:val="002A4A07"/>
    <w:rsid w:val="002A603B"/>
    <w:rsid w:val="002C6DB6"/>
    <w:rsid w:val="002E6516"/>
    <w:rsid w:val="002F5A77"/>
    <w:rsid w:val="003034D5"/>
    <w:rsid w:val="003206FC"/>
    <w:rsid w:val="0032485B"/>
    <w:rsid w:val="00327705"/>
    <w:rsid w:val="00336EE9"/>
    <w:rsid w:val="00343B8D"/>
    <w:rsid w:val="00346C20"/>
    <w:rsid w:val="00352CDD"/>
    <w:rsid w:val="0035667D"/>
    <w:rsid w:val="00365081"/>
    <w:rsid w:val="003703D3"/>
    <w:rsid w:val="00380677"/>
    <w:rsid w:val="00384E7D"/>
    <w:rsid w:val="00387632"/>
    <w:rsid w:val="00396AFD"/>
    <w:rsid w:val="003A26E8"/>
    <w:rsid w:val="003B251E"/>
    <w:rsid w:val="003B6305"/>
    <w:rsid w:val="003C6CF6"/>
    <w:rsid w:val="003D057A"/>
    <w:rsid w:val="003D4AD5"/>
    <w:rsid w:val="003D79AA"/>
    <w:rsid w:val="003E1FA7"/>
    <w:rsid w:val="003E61D1"/>
    <w:rsid w:val="003F35E5"/>
    <w:rsid w:val="003F3827"/>
    <w:rsid w:val="004060BD"/>
    <w:rsid w:val="004108EC"/>
    <w:rsid w:val="0041115E"/>
    <w:rsid w:val="00413660"/>
    <w:rsid w:val="0041535E"/>
    <w:rsid w:val="004157C1"/>
    <w:rsid w:val="00427E9C"/>
    <w:rsid w:val="00430539"/>
    <w:rsid w:val="00442E61"/>
    <w:rsid w:val="004456E7"/>
    <w:rsid w:val="0046073B"/>
    <w:rsid w:val="0046094F"/>
    <w:rsid w:val="0047163A"/>
    <w:rsid w:val="004A4E0D"/>
    <w:rsid w:val="004D1802"/>
    <w:rsid w:val="004E1DAD"/>
    <w:rsid w:val="005038D5"/>
    <w:rsid w:val="005077E2"/>
    <w:rsid w:val="0051087B"/>
    <w:rsid w:val="00513592"/>
    <w:rsid w:val="00531296"/>
    <w:rsid w:val="00532E68"/>
    <w:rsid w:val="0053735A"/>
    <w:rsid w:val="00552502"/>
    <w:rsid w:val="005666A8"/>
    <w:rsid w:val="00566C0D"/>
    <w:rsid w:val="00571092"/>
    <w:rsid w:val="005711E4"/>
    <w:rsid w:val="00573FD9"/>
    <w:rsid w:val="005753F4"/>
    <w:rsid w:val="00576AE4"/>
    <w:rsid w:val="00577429"/>
    <w:rsid w:val="005876CE"/>
    <w:rsid w:val="00591CA9"/>
    <w:rsid w:val="00594619"/>
    <w:rsid w:val="005A20BC"/>
    <w:rsid w:val="005B0DC8"/>
    <w:rsid w:val="005B3184"/>
    <w:rsid w:val="005B55D0"/>
    <w:rsid w:val="005B5CB2"/>
    <w:rsid w:val="005C1127"/>
    <w:rsid w:val="005C21AE"/>
    <w:rsid w:val="005C586F"/>
    <w:rsid w:val="005D6E63"/>
    <w:rsid w:val="005E0315"/>
    <w:rsid w:val="005E2EEA"/>
    <w:rsid w:val="005E41DF"/>
    <w:rsid w:val="005E73E1"/>
    <w:rsid w:val="005E74D1"/>
    <w:rsid w:val="005F53B8"/>
    <w:rsid w:val="005F6815"/>
    <w:rsid w:val="00600FA0"/>
    <w:rsid w:val="00602066"/>
    <w:rsid w:val="00604B14"/>
    <w:rsid w:val="00611ED1"/>
    <w:rsid w:val="00631396"/>
    <w:rsid w:val="006360C1"/>
    <w:rsid w:val="00646970"/>
    <w:rsid w:val="00666748"/>
    <w:rsid w:val="006719E3"/>
    <w:rsid w:val="00672765"/>
    <w:rsid w:val="00685FBC"/>
    <w:rsid w:val="00692E42"/>
    <w:rsid w:val="00692F44"/>
    <w:rsid w:val="0069516F"/>
    <w:rsid w:val="006A23E4"/>
    <w:rsid w:val="006B36E5"/>
    <w:rsid w:val="006B4894"/>
    <w:rsid w:val="006C1351"/>
    <w:rsid w:val="006C5647"/>
    <w:rsid w:val="006D29F6"/>
    <w:rsid w:val="006E06A4"/>
    <w:rsid w:val="006F2EC5"/>
    <w:rsid w:val="006F3A7C"/>
    <w:rsid w:val="006F7C69"/>
    <w:rsid w:val="00702246"/>
    <w:rsid w:val="00706138"/>
    <w:rsid w:val="007124B0"/>
    <w:rsid w:val="007134ED"/>
    <w:rsid w:val="007139E4"/>
    <w:rsid w:val="0072338F"/>
    <w:rsid w:val="0073709A"/>
    <w:rsid w:val="00756AFB"/>
    <w:rsid w:val="00760113"/>
    <w:rsid w:val="00760AD1"/>
    <w:rsid w:val="00767BA4"/>
    <w:rsid w:val="00797CCE"/>
    <w:rsid w:val="007A3BFA"/>
    <w:rsid w:val="007A77A5"/>
    <w:rsid w:val="007A7A39"/>
    <w:rsid w:val="007B060A"/>
    <w:rsid w:val="007D118E"/>
    <w:rsid w:val="007E3260"/>
    <w:rsid w:val="007E465E"/>
    <w:rsid w:val="007E49F9"/>
    <w:rsid w:val="007F1D65"/>
    <w:rsid w:val="008217F8"/>
    <w:rsid w:val="00832D61"/>
    <w:rsid w:val="0083533C"/>
    <w:rsid w:val="00840D3F"/>
    <w:rsid w:val="0084416A"/>
    <w:rsid w:val="00851071"/>
    <w:rsid w:val="0087020A"/>
    <w:rsid w:val="008809BC"/>
    <w:rsid w:val="00883656"/>
    <w:rsid w:val="00893013"/>
    <w:rsid w:val="008C3575"/>
    <w:rsid w:val="008C5495"/>
    <w:rsid w:val="008D1AA8"/>
    <w:rsid w:val="008D7ABA"/>
    <w:rsid w:val="008E0D71"/>
    <w:rsid w:val="008E214D"/>
    <w:rsid w:val="00906DA4"/>
    <w:rsid w:val="00911751"/>
    <w:rsid w:val="0092339F"/>
    <w:rsid w:val="0092521F"/>
    <w:rsid w:val="009279FA"/>
    <w:rsid w:val="00941627"/>
    <w:rsid w:val="00950E7C"/>
    <w:rsid w:val="00962145"/>
    <w:rsid w:val="00964C48"/>
    <w:rsid w:val="00981F4C"/>
    <w:rsid w:val="0098241E"/>
    <w:rsid w:val="00983874"/>
    <w:rsid w:val="009851F0"/>
    <w:rsid w:val="009874D2"/>
    <w:rsid w:val="009976B2"/>
    <w:rsid w:val="009A35E6"/>
    <w:rsid w:val="009B254F"/>
    <w:rsid w:val="009C41B8"/>
    <w:rsid w:val="009C73E8"/>
    <w:rsid w:val="009D2110"/>
    <w:rsid w:val="009D38C9"/>
    <w:rsid w:val="009D6870"/>
    <w:rsid w:val="009E4DFD"/>
    <w:rsid w:val="009E5293"/>
    <w:rsid w:val="009F19D0"/>
    <w:rsid w:val="009F378D"/>
    <w:rsid w:val="00A020F0"/>
    <w:rsid w:val="00A068FB"/>
    <w:rsid w:val="00A22061"/>
    <w:rsid w:val="00A30863"/>
    <w:rsid w:val="00A30C02"/>
    <w:rsid w:val="00A35268"/>
    <w:rsid w:val="00A41365"/>
    <w:rsid w:val="00A45C04"/>
    <w:rsid w:val="00A501C9"/>
    <w:rsid w:val="00A57D38"/>
    <w:rsid w:val="00A6118D"/>
    <w:rsid w:val="00A95710"/>
    <w:rsid w:val="00AB72C7"/>
    <w:rsid w:val="00AD7088"/>
    <w:rsid w:val="00AE0B55"/>
    <w:rsid w:val="00AE5352"/>
    <w:rsid w:val="00AE6619"/>
    <w:rsid w:val="00AF259F"/>
    <w:rsid w:val="00B0345C"/>
    <w:rsid w:val="00B037B4"/>
    <w:rsid w:val="00B1344C"/>
    <w:rsid w:val="00B17102"/>
    <w:rsid w:val="00B20B10"/>
    <w:rsid w:val="00B22788"/>
    <w:rsid w:val="00B433ED"/>
    <w:rsid w:val="00B47684"/>
    <w:rsid w:val="00B52187"/>
    <w:rsid w:val="00B528B6"/>
    <w:rsid w:val="00B531E3"/>
    <w:rsid w:val="00B53AE4"/>
    <w:rsid w:val="00B64900"/>
    <w:rsid w:val="00B91B43"/>
    <w:rsid w:val="00B94A55"/>
    <w:rsid w:val="00B96A11"/>
    <w:rsid w:val="00BA25F9"/>
    <w:rsid w:val="00BA2AE4"/>
    <w:rsid w:val="00BB1CC3"/>
    <w:rsid w:val="00BB254B"/>
    <w:rsid w:val="00BB3209"/>
    <w:rsid w:val="00BB5E2E"/>
    <w:rsid w:val="00BB607F"/>
    <w:rsid w:val="00BB719F"/>
    <w:rsid w:val="00BC18B5"/>
    <w:rsid w:val="00BC2E84"/>
    <w:rsid w:val="00BD1FAA"/>
    <w:rsid w:val="00BE02A4"/>
    <w:rsid w:val="00BF6789"/>
    <w:rsid w:val="00BF6B7E"/>
    <w:rsid w:val="00BF6E5F"/>
    <w:rsid w:val="00C00928"/>
    <w:rsid w:val="00C00E20"/>
    <w:rsid w:val="00C202F4"/>
    <w:rsid w:val="00C30CAE"/>
    <w:rsid w:val="00C358F1"/>
    <w:rsid w:val="00C4229F"/>
    <w:rsid w:val="00C46D05"/>
    <w:rsid w:val="00C46FB7"/>
    <w:rsid w:val="00C64603"/>
    <w:rsid w:val="00C764C6"/>
    <w:rsid w:val="00C832AA"/>
    <w:rsid w:val="00C846ED"/>
    <w:rsid w:val="00CA0450"/>
    <w:rsid w:val="00CB1670"/>
    <w:rsid w:val="00CB3787"/>
    <w:rsid w:val="00CB3A5A"/>
    <w:rsid w:val="00CC26AB"/>
    <w:rsid w:val="00CC5BCF"/>
    <w:rsid w:val="00CD1F6D"/>
    <w:rsid w:val="00CE4021"/>
    <w:rsid w:val="00CE5FDA"/>
    <w:rsid w:val="00CF571F"/>
    <w:rsid w:val="00CF5B5F"/>
    <w:rsid w:val="00CF69EC"/>
    <w:rsid w:val="00D04A49"/>
    <w:rsid w:val="00D12A77"/>
    <w:rsid w:val="00D13B1B"/>
    <w:rsid w:val="00D159D3"/>
    <w:rsid w:val="00D20148"/>
    <w:rsid w:val="00D32CA9"/>
    <w:rsid w:val="00D40377"/>
    <w:rsid w:val="00D42405"/>
    <w:rsid w:val="00D4552D"/>
    <w:rsid w:val="00D468FE"/>
    <w:rsid w:val="00D53D21"/>
    <w:rsid w:val="00D62732"/>
    <w:rsid w:val="00D71CAC"/>
    <w:rsid w:val="00D71FAB"/>
    <w:rsid w:val="00D72B49"/>
    <w:rsid w:val="00D952A4"/>
    <w:rsid w:val="00D9641F"/>
    <w:rsid w:val="00DA2798"/>
    <w:rsid w:val="00DB4973"/>
    <w:rsid w:val="00DB77DF"/>
    <w:rsid w:val="00DD0A48"/>
    <w:rsid w:val="00DE38E7"/>
    <w:rsid w:val="00DE3BE5"/>
    <w:rsid w:val="00DE4EAA"/>
    <w:rsid w:val="00DF150D"/>
    <w:rsid w:val="00DF1ECA"/>
    <w:rsid w:val="00DF1EDE"/>
    <w:rsid w:val="00DF5F69"/>
    <w:rsid w:val="00E05FB3"/>
    <w:rsid w:val="00E11EB9"/>
    <w:rsid w:val="00E20128"/>
    <w:rsid w:val="00E40CC4"/>
    <w:rsid w:val="00E43F8B"/>
    <w:rsid w:val="00E55CD6"/>
    <w:rsid w:val="00E577D3"/>
    <w:rsid w:val="00E801B6"/>
    <w:rsid w:val="00E826FE"/>
    <w:rsid w:val="00E90BCE"/>
    <w:rsid w:val="00E95A3A"/>
    <w:rsid w:val="00EB19D0"/>
    <w:rsid w:val="00EC3F0C"/>
    <w:rsid w:val="00ED792F"/>
    <w:rsid w:val="00EE077E"/>
    <w:rsid w:val="00EE12F9"/>
    <w:rsid w:val="00EE17B5"/>
    <w:rsid w:val="00EE3592"/>
    <w:rsid w:val="00EF17AD"/>
    <w:rsid w:val="00EF2BBD"/>
    <w:rsid w:val="00EF5A90"/>
    <w:rsid w:val="00F033E0"/>
    <w:rsid w:val="00F14154"/>
    <w:rsid w:val="00F21914"/>
    <w:rsid w:val="00F21AEC"/>
    <w:rsid w:val="00F2736F"/>
    <w:rsid w:val="00F37A4C"/>
    <w:rsid w:val="00F61478"/>
    <w:rsid w:val="00F724C0"/>
    <w:rsid w:val="00F97870"/>
    <w:rsid w:val="00FA1FDB"/>
    <w:rsid w:val="00FA2922"/>
    <w:rsid w:val="00FB686C"/>
    <w:rsid w:val="00FC08BD"/>
    <w:rsid w:val="00FD6B78"/>
    <w:rsid w:val="00FE3991"/>
    <w:rsid w:val="00FE79C4"/>
    <w:rsid w:val="00FF48E7"/>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aliases w:val="5_G"/>
    <w:basedOn w:val="Normal"/>
    <w:link w:val="FootnoteTextChar"/>
    <w:uiPriority w:val="99"/>
    <w:rsid w:val="00E11EB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locked/>
    <w:rsid w:val="00E11EB9"/>
    <w:rPr>
      <w:rFonts w:cs="Times New Roman"/>
      <w:sz w:val="20"/>
      <w:szCs w:val="20"/>
    </w:rPr>
  </w:style>
  <w:style w:type="character" w:styleId="FootnoteReference">
    <w:name w:val="footnote reference"/>
    <w:aliases w:val="4_G"/>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rsid w:val="00112C90"/>
    <w:rPr>
      <w:rFonts w:ascii="Times New Roman" w:hAnsi="Times New Roman"/>
      <w:sz w:val="0"/>
      <w:szCs w:val="0"/>
      <w:lang w:val="en-GB" w:eastAsia="en-GB"/>
    </w:rPr>
  </w:style>
  <w:style w:type="paragraph" w:styleId="EndnoteText">
    <w:name w:val="endnote text"/>
    <w:basedOn w:val="Normal"/>
    <w:link w:val="EndnoteTextChar"/>
    <w:uiPriority w:val="99"/>
    <w:semiHidden/>
    <w:unhideWhenUsed/>
    <w:rsid w:val="008C35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575"/>
    <w:rPr>
      <w:sz w:val="20"/>
      <w:szCs w:val="20"/>
      <w:lang w:val="en-GB" w:eastAsia="en-GB"/>
    </w:rPr>
  </w:style>
  <w:style w:type="character" w:styleId="EndnoteReference">
    <w:name w:val="endnote reference"/>
    <w:basedOn w:val="DefaultParagraphFont"/>
    <w:uiPriority w:val="99"/>
    <w:semiHidden/>
    <w:unhideWhenUsed/>
    <w:rsid w:val="008C3575"/>
    <w:rPr>
      <w:vertAlign w:val="superscript"/>
    </w:rPr>
  </w:style>
  <w:style w:type="character" w:styleId="Hyperlink">
    <w:name w:val="Hyperlink"/>
    <w:uiPriority w:val="99"/>
    <w:unhideWhenUsed/>
    <w:rsid w:val="00AE5352"/>
    <w:rPr>
      <w:color w:val="0000FF"/>
      <w:u w:val="single"/>
    </w:rPr>
  </w:style>
  <w:style w:type="paragraph" w:customStyle="1" w:styleId="HChG">
    <w:name w:val="_ H _Ch_G"/>
    <w:basedOn w:val="Normal"/>
    <w:next w:val="Normal"/>
    <w:rsid w:val="00532E68"/>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aliases w:val="5_G"/>
    <w:basedOn w:val="Normal"/>
    <w:link w:val="FootnoteTextChar"/>
    <w:uiPriority w:val="99"/>
    <w:rsid w:val="00E11EB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locked/>
    <w:rsid w:val="00E11EB9"/>
    <w:rPr>
      <w:rFonts w:cs="Times New Roman"/>
      <w:sz w:val="20"/>
      <w:szCs w:val="20"/>
    </w:rPr>
  </w:style>
  <w:style w:type="character" w:styleId="FootnoteReference">
    <w:name w:val="footnote reference"/>
    <w:aliases w:val="4_G"/>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rsid w:val="00112C90"/>
    <w:rPr>
      <w:rFonts w:ascii="Times New Roman" w:hAnsi="Times New Roman"/>
      <w:sz w:val="0"/>
      <w:szCs w:val="0"/>
      <w:lang w:val="en-GB" w:eastAsia="en-GB"/>
    </w:rPr>
  </w:style>
  <w:style w:type="paragraph" w:styleId="EndnoteText">
    <w:name w:val="endnote text"/>
    <w:basedOn w:val="Normal"/>
    <w:link w:val="EndnoteTextChar"/>
    <w:uiPriority w:val="99"/>
    <w:semiHidden/>
    <w:unhideWhenUsed/>
    <w:rsid w:val="008C35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575"/>
    <w:rPr>
      <w:sz w:val="20"/>
      <w:szCs w:val="20"/>
      <w:lang w:val="en-GB" w:eastAsia="en-GB"/>
    </w:rPr>
  </w:style>
  <w:style w:type="character" w:styleId="EndnoteReference">
    <w:name w:val="endnote reference"/>
    <w:basedOn w:val="DefaultParagraphFont"/>
    <w:uiPriority w:val="99"/>
    <w:semiHidden/>
    <w:unhideWhenUsed/>
    <w:rsid w:val="008C3575"/>
    <w:rPr>
      <w:vertAlign w:val="superscript"/>
    </w:rPr>
  </w:style>
  <w:style w:type="character" w:styleId="Hyperlink">
    <w:name w:val="Hyperlink"/>
    <w:uiPriority w:val="99"/>
    <w:unhideWhenUsed/>
    <w:rsid w:val="00AE5352"/>
    <w:rPr>
      <w:color w:val="0000FF"/>
      <w:u w:val="single"/>
    </w:rPr>
  </w:style>
  <w:style w:type="paragraph" w:customStyle="1" w:styleId="HChG">
    <w:name w:val="_ H _Ch_G"/>
    <w:basedOn w:val="Normal"/>
    <w:next w:val="Normal"/>
    <w:rsid w:val="00532E68"/>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478">
      <w:bodyDiv w:val="1"/>
      <w:marLeft w:val="0"/>
      <w:marRight w:val="0"/>
      <w:marTop w:val="0"/>
      <w:marBottom w:val="0"/>
      <w:divBdr>
        <w:top w:val="none" w:sz="0" w:space="0" w:color="auto"/>
        <w:left w:val="none" w:sz="0" w:space="0" w:color="auto"/>
        <w:bottom w:val="none" w:sz="0" w:space="0" w:color="auto"/>
        <w:right w:val="none" w:sz="0" w:space="0" w:color="auto"/>
      </w:divBdr>
      <w:divsChild>
        <w:div w:id="2143225493">
          <w:marLeft w:val="1200"/>
          <w:marRight w:val="1200"/>
          <w:marTop w:val="150"/>
          <w:marBottom w:val="150"/>
          <w:divBdr>
            <w:top w:val="none" w:sz="0" w:space="0" w:color="auto"/>
            <w:left w:val="none" w:sz="0" w:space="0" w:color="auto"/>
            <w:bottom w:val="none" w:sz="0" w:space="0" w:color="auto"/>
            <w:right w:val="none" w:sz="0" w:space="0" w:color="auto"/>
          </w:divBdr>
          <w:divsChild>
            <w:div w:id="621034987">
              <w:marLeft w:val="0"/>
              <w:marRight w:val="0"/>
              <w:marTop w:val="0"/>
              <w:marBottom w:val="0"/>
              <w:divBdr>
                <w:top w:val="none" w:sz="0" w:space="0" w:color="auto"/>
                <w:left w:val="none" w:sz="0" w:space="0" w:color="auto"/>
                <w:bottom w:val="none" w:sz="0" w:space="0" w:color="auto"/>
                <w:right w:val="none" w:sz="0" w:space="0" w:color="auto"/>
              </w:divBdr>
              <w:divsChild>
                <w:div w:id="20512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0865">
      <w:bodyDiv w:val="1"/>
      <w:marLeft w:val="0"/>
      <w:marRight w:val="0"/>
      <w:marTop w:val="0"/>
      <w:marBottom w:val="0"/>
      <w:divBdr>
        <w:top w:val="none" w:sz="0" w:space="0" w:color="auto"/>
        <w:left w:val="none" w:sz="0" w:space="0" w:color="auto"/>
        <w:bottom w:val="none" w:sz="0" w:space="0" w:color="auto"/>
        <w:right w:val="none" w:sz="0" w:space="0" w:color="auto"/>
      </w:divBdr>
      <w:divsChild>
        <w:div w:id="866675326">
          <w:marLeft w:val="1200"/>
          <w:marRight w:val="1200"/>
          <w:marTop w:val="150"/>
          <w:marBottom w:val="150"/>
          <w:divBdr>
            <w:top w:val="none" w:sz="0" w:space="0" w:color="auto"/>
            <w:left w:val="none" w:sz="0" w:space="0" w:color="auto"/>
            <w:bottom w:val="none" w:sz="0" w:space="0" w:color="auto"/>
            <w:right w:val="none" w:sz="0" w:space="0" w:color="auto"/>
          </w:divBdr>
          <w:divsChild>
            <w:div w:id="1131097923">
              <w:marLeft w:val="0"/>
              <w:marRight w:val="0"/>
              <w:marTop w:val="0"/>
              <w:marBottom w:val="0"/>
              <w:divBdr>
                <w:top w:val="none" w:sz="0" w:space="0" w:color="auto"/>
                <w:left w:val="none" w:sz="0" w:space="0" w:color="auto"/>
                <w:bottom w:val="none" w:sz="0" w:space="0" w:color="auto"/>
                <w:right w:val="none" w:sz="0" w:space="0" w:color="auto"/>
              </w:divBdr>
              <w:divsChild>
                <w:div w:id="13116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6329">
      <w:bodyDiv w:val="1"/>
      <w:marLeft w:val="0"/>
      <w:marRight w:val="0"/>
      <w:marTop w:val="0"/>
      <w:marBottom w:val="0"/>
      <w:divBdr>
        <w:top w:val="none" w:sz="0" w:space="0" w:color="auto"/>
        <w:left w:val="none" w:sz="0" w:space="0" w:color="auto"/>
        <w:bottom w:val="none" w:sz="0" w:space="0" w:color="auto"/>
        <w:right w:val="none" w:sz="0" w:space="0" w:color="auto"/>
      </w:divBdr>
    </w:div>
    <w:div w:id="1075587825">
      <w:marLeft w:val="0"/>
      <w:marRight w:val="0"/>
      <w:marTop w:val="0"/>
      <w:marBottom w:val="0"/>
      <w:divBdr>
        <w:top w:val="none" w:sz="0" w:space="0" w:color="auto"/>
        <w:left w:val="none" w:sz="0" w:space="0" w:color="auto"/>
        <w:bottom w:val="none" w:sz="0" w:space="0" w:color="auto"/>
        <w:right w:val="none" w:sz="0" w:space="0" w:color="auto"/>
      </w:divBdr>
      <w:divsChild>
        <w:div w:id="1075587852">
          <w:marLeft w:val="1200"/>
          <w:marRight w:val="1200"/>
          <w:marTop w:val="150"/>
          <w:marBottom w:val="150"/>
          <w:divBdr>
            <w:top w:val="none" w:sz="0" w:space="0" w:color="auto"/>
            <w:left w:val="none" w:sz="0" w:space="0" w:color="auto"/>
            <w:bottom w:val="none" w:sz="0" w:space="0" w:color="auto"/>
            <w:right w:val="none" w:sz="0" w:space="0" w:color="auto"/>
          </w:divBdr>
          <w:divsChild>
            <w:div w:id="1075587855">
              <w:marLeft w:val="0"/>
              <w:marRight w:val="0"/>
              <w:marTop w:val="0"/>
              <w:marBottom w:val="0"/>
              <w:divBdr>
                <w:top w:val="none" w:sz="0" w:space="0" w:color="auto"/>
                <w:left w:val="none" w:sz="0" w:space="0" w:color="auto"/>
                <w:bottom w:val="none" w:sz="0" w:space="0" w:color="auto"/>
                <w:right w:val="none" w:sz="0" w:space="0" w:color="auto"/>
              </w:divBdr>
              <w:divsChild>
                <w:div w:id="10755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7829">
      <w:marLeft w:val="0"/>
      <w:marRight w:val="0"/>
      <w:marTop w:val="0"/>
      <w:marBottom w:val="0"/>
      <w:divBdr>
        <w:top w:val="none" w:sz="0" w:space="0" w:color="auto"/>
        <w:left w:val="none" w:sz="0" w:space="0" w:color="auto"/>
        <w:bottom w:val="none" w:sz="0" w:space="0" w:color="auto"/>
        <w:right w:val="none" w:sz="0" w:space="0" w:color="auto"/>
      </w:divBdr>
      <w:divsChild>
        <w:div w:id="1075587850">
          <w:marLeft w:val="547"/>
          <w:marRight w:val="0"/>
          <w:marTop w:val="120"/>
          <w:marBottom w:val="0"/>
          <w:divBdr>
            <w:top w:val="none" w:sz="0" w:space="0" w:color="auto"/>
            <w:left w:val="none" w:sz="0" w:space="0" w:color="auto"/>
            <w:bottom w:val="none" w:sz="0" w:space="0" w:color="auto"/>
            <w:right w:val="none" w:sz="0" w:space="0" w:color="auto"/>
          </w:divBdr>
        </w:div>
      </w:divsChild>
    </w:div>
    <w:div w:id="1075587833">
      <w:marLeft w:val="0"/>
      <w:marRight w:val="0"/>
      <w:marTop w:val="0"/>
      <w:marBottom w:val="0"/>
      <w:divBdr>
        <w:top w:val="none" w:sz="0" w:space="0" w:color="auto"/>
        <w:left w:val="none" w:sz="0" w:space="0" w:color="auto"/>
        <w:bottom w:val="none" w:sz="0" w:space="0" w:color="auto"/>
        <w:right w:val="none" w:sz="0" w:space="0" w:color="auto"/>
      </w:divBdr>
      <w:divsChild>
        <w:div w:id="1075587827">
          <w:marLeft w:val="0"/>
          <w:marRight w:val="0"/>
          <w:marTop w:val="0"/>
          <w:marBottom w:val="300"/>
          <w:divBdr>
            <w:top w:val="none" w:sz="0" w:space="0" w:color="auto"/>
            <w:left w:val="none" w:sz="0" w:space="0" w:color="auto"/>
            <w:bottom w:val="none" w:sz="0" w:space="0" w:color="auto"/>
            <w:right w:val="none" w:sz="0" w:space="0" w:color="auto"/>
          </w:divBdr>
          <w:divsChild>
            <w:div w:id="1075587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5587836">
      <w:marLeft w:val="0"/>
      <w:marRight w:val="0"/>
      <w:marTop w:val="0"/>
      <w:marBottom w:val="0"/>
      <w:divBdr>
        <w:top w:val="none" w:sz="0" w:space="0" w:color="auto"/>
        <w:left w:val="none" w:sz="0" w:space="0" w:color="auto"/>
        <w:bottom w:val="none" w:sz="0" w:space="0" w:color="auto"/>
        <w:right w:val="none" w:sz="0" w:space="0" w:color="auto"/>
      </w:divBdr>
      <w:divsChild>
        <w:div w:id="1075587835">
          <w:marLeft w:val="547"/>
          <w:marRight w:val="0"/>
          <w:marTop w:val="115"/>
          <w:marBottom w:val="0"/>
          <w:divBdr>
            <w:top w:val="none" w:sz="0" w:space="0" w:color="auto"/>
            <w:left w:val="none" w:sz="0" w:space="0" w:color="auto"/>
            <w:bottom w:val="none" w:sz="0" w:space="0" w:color="auto"/>
            <w:right w:val="none" w:sz="0" w:space="0" w:color="auto"/>
          </w:divBdr>
        </w:div>
        <w:div w:id="1075587840">
          <w:marLeft w:val="547"/>
          <w:marRight w:val="0"/>
          <w:marTop w:val="115"/>
          <w:marBottom w:val="0"/>
          <w:divBdr>
            <w:top w:val="none" w:sz="0" w:space="0" w:color="auto"/>
            <w:left w:val="none" w:sz="0" w:space="0" w:color="auto"/>
            <w:bottom w:val="none" w:sz="0" w:space="0" w:color="auto"/>
            <w:right w:val="none" w:sz="0" w:space="0" w:color="auto"/>
          </w:divBdr>
        </w:div>
        <w:div w:id="1075587853">
          <w:marLeft w:val="547"/>
          <w:marRight w:val="0"/>
          <w:marTop w:val="115"/>
          <w:marBottom w:val="0"/>
          <w:divBdr>
            <w:top w:val="none" w:sz="0" w:space="0" w:color="auto"/>
            <w:left w:val="none" w:sz="0" w:space="0" w:color="auto"/>
            <w:bottom w:val="none" w:sz="0" w:space="0" w:color="auto"/>
            <w:right w:val="none" w:sz="0" w:space="0" w:color="auto"/>
          </w:divBdr>
        </w:div>
        <w:div w:id="1075587856">
          <w:marLeft w:val="547"/>
          <w:marRight w:val="0"/>
          <w:marTop w:val="115"/>
          <w:marBottom w:val="0"/>
          <w:divBdr>
            <w:top w:val="none" w:sz="0" w:space="0" w:color="auto"/>
            <w:left w:val="none" w:sz="0" w:space="0" w:color="auto"/>
            <w:bottom w:val="none" w:sz="0" w:space="0" w:color="auto"/>
            <w:right w:val="none" w:sz="0" w:space="0" w:color="auto"/>
          </w:divBdr>
        </w:div>
        <w:div w:id="1075587859">
          <w:marLeft w:val="547"/>
          <w:marRight w:val="0"/>
          <w:marTop w:val="115"/>
          <w:marBottom w:val="0"/>
          <w:divBdr>
            <w:top w:val="none" w:sz="0" w:space="0" w:color="auto"/>
            <w:left w:val="none" w:sz="0" w:space="0" w:color="auto"/>
            <w:bottom w:val="none" w:sz="0" w:space="0" w:color="auto"/>
            <w:right w:val="none" w:sz="0" w:space="0" w:color="auto"/>
          </w:divBdr>
        </w:div>
        <w:div w:id="1075587864">
          <w:marLeft w:val="547"/>
          <w:marRight w:val="0"/>
          <w:marTop w:val="115"/>
          <w:marBottom w:val="0"/>
          <w:divBdr>
            <w:top w:val="none" w:sz="0" w:space="0" w:color="auto"/>
            <w:left w:val="none" w:sz="0" w:space="0" w:color="auto"/>
            <w:bottom w:val="none" w:sz="0" w:space="0" w:color="auto"/>
            <w:right w:val="none" w:sz="0" w:space="0" w:color="auto"/>
          </w:divBdr>
        </w:div>
      </w:divsChild>
    </w:div>
    <w:div w:id="1075587842">
      <w:marLeft w:val="0"/>
      <w:marRight w:val="0"/>
      <w:marTop w:val="0"/>
      <w:marBottom w:val="0"/>
      <w:divBdr>
        <w:top w:val="none" w:sz="0" w:space="0" w:color="auto"/>
        <w:left w:val="none" w:sz="0" w:space="0" w:color="auto"/>
        <w:bottom w:val="none" w:sz="0" w:space="0" w:color="auto"/>
        <w:right w:val="none" w:sz="0" w:space="0" w:color="auto"/>
      </w:divBdr>
    </w:div>
    <w:div w:id="1075587844">
      <w:marLeft w:val="0"/>
      <w:marRight w:val="0"/>
      <w:marTop w:val="0"/>
      <w:marBottom w:val="0"/>
      <w:divBdr>
        <w:top w:val="none" w:sz="0" w:space="0" w:color="auto"/>
        <w:left w:val="none" w:sz="0" w:space="0" w:color="auto"/>
        <w:bottom w:val="none" w:sz="0" w:space="0" w:color="auto"/>
        <w:right w:val="none" w:sz="0" w:space="0" w:color="auto"/>
      </w:divBdr>
    </w:div>
    <w:div w:id="1075587845">
      <w:marLeft w:val="0"/>
      <w:marRight w:val="0"/>
      <w:marTop w:val="0"/>
      <w:marBottom w:val="0"/>
      <w:divBdr>
        <w:top w:val="none" w:sz="0" w:space="0" w:color="auto"/>
        <w:left w:val="none" w:sz="0" w:space="0" w:color="auto"/>
        <w:bottom w:val="none" w:sz="0" w:space="0" w:color="auto"/>
        <w:right w:val="none" w:sz="0" w:space="0" w:color="auto"/>
      </w:divBdr>
    </w:div>
    <w:div w:id="1075587846">
      <w:marLeft w:val="0"/>
      <w:marRight w:val="0"/>
      <w:marTop w:val="0"/>
      <w:marBottom w:val="0"/>
      <w:divBdr>
        <w:top w:val="none" w:sz="0" w:space="0" w:color="auto"/>
        <w:left w:val="none" w:sz="0" w:space="0" w:color="auto"/>
        <w:bottom w:val="none" w:sz="0" w:space="0" w:color="auto"/>
        <w:right w:val="none" w:sz="0" w:space="0" w:color="auto"/>
      </w:divBdr>
      <w:divsChild>
        <w:div w:id="1075587826">
          <w:marLeft w:val="547"/>
          <w:marRight w:val="0"/>
          <w:marTop w:val="154"/>
          <w:marBottom w:val="0"/>
          <w:divBdr>
            <w:top w:val="none" w:sz="0" w:space="0" w:color="auto"/>
            <w:left w:val="none" w:sz="0" w:space="0" w:color="auto"/>
            <w:bottom w:val="none" w:sz="0" w:space="0" w:color="auto"/>
            <w:right w:val="none" w:sz="0" w:space="0" w:color="auto"/>
          </w:divBdr>
        </w:div>
        <w:div w:id="1075587832">
          <w:marLeft w:val="1166"/>
          <w:marRight w:val="0"/>
          <w:marTop w:val="134"/>
          <w:marBottom w:val="0"/>
          <w:divBdr>
            <w:top w:val="none" w:sz="0" w:space="0" w:color="auto"/>
            <w:left w:val="none" w:sz="0" w:space="0" w:color="auto"/>
            <w:bottom w:val="none" w:sz="0" w:space="0" w:color="auto"/>
            <w:right w:val="none" w:sz="0" w:space="0" w:color="auto"/>
          </w:divBdr>
        </w:div>
        <w:div w:id="1075587839">
          <w:marLeft w:val="547"/>
          <w:marRight w:val="0"/>
          <w:marTop w:val="154"/>
          <w:marBottom w:val="0"/>
          <w:divBdr>
            <w:top w:val="none" w:sz="0" w:space="0" w:color="auto"/>
            <w:left w:val="none" w:sz="0" w:space="0" w:color="auto"/>
            <w:bottom w:val="none" w:sz="0" w:space="0" w:color="auto"/>
            <w:right w:val="none" w:sz="0" w:space="0" w:color="auto"/>
          </w:divBdr>
        </w:div>
        <w:div w:id="1075587860">
          <w:marLeft w:val="1166"/>
          <w:marRight w:val="0"/>
          <w:marTop w:val="134"/>
          <w:marBottom w:val="0"/>
          <w:divBdr>
            <w:top w:val="none" w:sz="0" w:space="0" w:color="auto"/>
            <w:left w:val="none" w:sz="0" w:space="0" w:color="auto"/>
            <w:bottom w:val="none" w:sz="0" w:space="0" w:color="auto"/>
            <w:right w:val="none" w:sz="0" w:space="0" w:color="auto"/>
          </w:divBdr>
        </w:div>
        <w:div w:id="1075587862">
          <w:marLeft w:val="1166"/>
          <w:marRight w:val="0"/>
          <w:marTop w:val="134"/>
          <w:marBottom w:val="0"/>
          <w:divBdr>
            <w:top w:val="none" w:sz="0" w:space="0" w:color="auto"/>
            <w:left w:val="none" w:sz="0" w:space="0" w:color="auto"/>
            <w:bottom w:val="none" w:sz="0" w:space="0" w:color="auto"/>
            <w:right w:val="none" w:sz="0" w:space="0" w:color="auto"/>
          </w:divBdr>
        </w:div>
        <w:div w:id="1075587863">
          <w:marLeft w:val="1166"/>
          <w:marRight w:val="0"/>
          <w:marTop w:val="134"/>
          <w:marBottom w:val="0"/>
          <w:divBdr>
            <w:top w:val="none" w:sz="0" w:space="0" w:color="auto"/>
            <w:left w:val="none" w:sz="0" w:space="0" w:color="auto"/>
            <w:bottom w:val="none" w:sz="0" w:space="0" w:color="auto"/>
            <w:right w:val="none" w:sz="0" w:space="0" w:color="auto"/>
          </w:divBdr>
        </w:div>
      </w:divsChild>
    </w:div>
    <w:div w:id="1075587847">
      <w:marLeft w:val="0"/>
      <w:marRight w:val="0"/>
      <w:marTop w:val="0"/>
      <w:marBottom w:val="0"/>
      <w:divBdr>
        <w:top w:val="none" w:sz="0" w:space="0" w:color="auto"/>
        <w:left w:val="none" w:sz="0" w:space="0" w:color="auto"/>
        <w:bottom w:val="none" w:sz="0" w:space="0" w:color="auto"/>
        <w:right w:val="none" w:sz="0" w:space="0" w:color="auto"/>
      </w:divBdr>
      <w:divsChild>
        <w:div w:id="1075587828">
          <w:marLeft w:val="806"/>
          <w:marRight w:val="0"/>
          <w:marTop w:val="144"/>
          <w:marBottom w:val="0"/>
          <w:divBdr>
            <w:top w:val="none" w:sz="0" w:space="0" w:color="auto"/>
            <w:left w:val="none" w:sz="0" w:space="0" w:color="auto"/>
            <w:bottom w:val="none" w:sz="0" w:space="0" w:color="auto"/>
            <w:right w:val="none" w:sz="0" w:space="0" w:color="auto"/>
          </w:divBdr>
        </w:div>
        <w:div w:id="1075587830">
          <w:marLeft w:val="547"/>
          <w:marRight w:val="0"/>
          <w:marTop w:val="144"/>
          <w:marBottom w:val="0"/>
          <w:divBdr>
            <w:top w:val="none" w:sz="0" w:space="0" w:color="auto"/>
            <w:left w:val="none" w:sz="0" w:space="0" w:color="auto"/>
            <w:bottom w:val="none" w:sz="0" w:space="0" w:color="auto"/>
            <w:right w:val="none" w:sz="0" w:space="0" w:color="auto"/>
          </w:divBdr>
        </w:div>
        <w:div w:id="1075587838">
          <w:marLeft w:val="547"/>
          <w:marRight w:val="0"/>
          <w:marTop w:val="144"/>
          <w:marBottom w:val="0"/>
          <w:divBdr>
            <w:top w:val="none" w:sz="0" w:space="0" w:color="auto"/>
            <w:left w:val="none" w:sz="0" w:space="0" w:color="auto"/>
            <w:bottom w:val="none" w:sz="0" w:space="0" w:color="auto"/>
            <w:right w:val="none" w:sz="0" w:space="0" w:color="auto"/>
          </w:divBdr>
        </w:div>
        <w:div w:id="1075587841">
          <w:marLeft w:val="806"/>
          <w:marRight w:val="0"/>
          <w:marTop w:val="144"/>
          <w:marBottom w:val="0"/>
          <w:divBdr>
            <w:top w:val="none" w:sz="0" w:space="0" w:color="auto"/>
            <w:left w:val="none" w:sz="0" w:space="0" w:color="auto"/>
            <w:bottom w:val="none" w:sz="0" w:space="0" w:color="auto"/>
            <w:right w:val="none" w:sz="0" w:space="0" w:color="auto"/>
          </w:divBdr>
        </w:div>
      </w:divsChild>
    </w:div>
    <w:div w:id="1075587854">
      <w:marLeft w:val="0"/>
      <w:marRight w:val="0"/>
      <w:marTop w:val="0"/>
      <w:marBottom w:val="0"/>
      <w:divBdr>
        <w:top w:val="none" w:sz="0" w:space="0" w:color="auto"/>
        <w:left w:val="none" w:sz="0" w:space="0" w:color="auto"/>
        <w:bottom w:val="none" w:sz="0" w:space="0" w:color="auto"/>
        <w:right w:val="none" w:sz="0" w:space="0" w:color="auto"/>
      </w:divBdr>
      <w:divsChild>
        <w:div w:id="1075587834">
          <w:marLeft w:val="547"/>
          <w:marRight w:val="0"/>
          <w:marTop w:val="96"/>
          <w:marBottom w:val="0"/>
          <w:divBdr>
            <w:top w:val="none" w:sz="0" w:space="0" w:color="auto"/>
            <w:left w:val="none" w:sz="0" w:space="0" w:color="auto"/>
            <w:bottom w:val="none" w:sz="0" w:space="0" w:color="auto"/>
            <w:right w:val="none" w:sz="0" w:space="0" w:color="auto"/>
          </w:divBdr>
        </w:div>
        <w:div w:id="1075587837">
          <w:marLeft w:val="547"/>
          <w:marRight w:val="0"/>
          <w:marTop w:val="96"/>
          <w:marBottom w:val="0"/>
          <w:divBdr>
            <w:top w:val="none" w:sz="0" w:space="0" w:color="auto"/>
            <w:left w:val="none" w:sz="0" w:space="0" w:color="auto"/>
            <w:bottom w:val="none" w:sz="0" w:space="0" w:color="auto"/>
            <w:right w:val="none" w:sz="0" w:space="0" w:color="auto"/>
          </w:divBdr>
        </w:div>
        <w:div w:id="1075587843">
          <w:marLeft w:val="1008"/>
          <w:marRight w:val="0"/>
          <w:marTop w:val="82"/>
          <w:marBottom w:val="0"/>
          <w:divBdr>
            <w:top w:val="none" w:sz="0" w:space="0" w:color="auto"/>
            <w:left w:val="none" w:sz="0" w:space="0" w:color="auto"/>
            <w:bottom w:val="none" w:sz="0" w:space="0" w:color="auto"/>
            <w:right w:val="none" w:sz="0" w:space="0" w:color="auto"/>
          </w:divBdr>
        </w:div>
        <w:div w:id="1075587848">
          <w:marLeft w:val="547"/>
          <w:marRight w:val="0"/>
          <w:marTop w:val="96"/>
          <w:marBottom w:val="0"/>
          <w:divBdr>
            <w:top w:val="none" w:sz="0" w:space="0" w:color="auto"/>
            <w:left w:val="none" w:sz="0" w:space="0" w:color="auto"/>
            <w:bottom w:val="none" w:sz="0" w:space="0" w:color="auto"/>
            <w:right w:val="none" w:sz="0" w:space="0" w:color="auto"/>
          </w:divBdr>
        </w:div>
        <w:div w:id="1075587849">
          <w:marLeft w:val="547"/>
          <w:marRight w:val="0"/>
          <w:marTop w:val="96"/>
          <w:marBottom w:val="0"/>
          <w:divBdr>
            <w:top w:val="none" w:sz="0" w:space="0" w:color="auto"/>
            <w:left w:val="none" w:sz="0" w:space="0" w:color="auto"/>
            <w:bottom w:val="none" w:sz="0" w:space="0" w:color="auto"/>
            <w:right w:val="none" w:sz="0" w:space="0" w:color="auto"/>
          </w:divBdr>
        </w:div>
        <w:div w:id="1075587851">
          <w:marLeft w:val="547"/>
          <w:marRight w:val="0"/>
          <w:marTop w:val="96"/>
          <w:marBottom w:val="0"/>
          <w:divBdr>
            <w:top w:val="none" w:sz="0" w:space="0" w:color="auto"/>
            <w:left w:val="none" w:sz="0" w:space="0" w:color="auto"/>
            <w:bottom w:val="none" w:sz="0" w:space="0" w:color="auto"/>
            <w:right w:val="none" w:sz="0" w:space="0" w:color="auto"/>
          </w:divBdr>
        </w:div>
        <w:div w:id="1075587857">
          <w:marLeft w:val="547"/>
          <w:marRight w:val="0"/>
          <w:marTop w:val="96"/>
          <w:marBottom w:val="0"/>
          <w:divBdr>
            <w:top w:val="none" w:sz="0" w:space="0" w:color="auto"/>
            <w:left w:val="none" w:sz="0" w:space="0" w:color="auto"/>
            <w:bottom w:val="none" w:sz="0" w:space="0" w:color="auto"/>
            <w:right w:val="none" w:sz="0" w:space="0" w:color="auto"/>
          </w:divBdr>
        </w:div>
        <w:div w:id="1075587858">
          <w:marLeft w:val="1008"/>
          <w:marRight w:val="0"/>
          <w:marTop w:val="82"/>
          <w:marBottom w:val="0"/>
          <w:divBdr>
            <w:top w:val="none" w:sz="0" w:space="0" w:color="auto"/>
            <w:left w:val="none" w:sz="0" w:space="0" w:color="auto"/>
            <w:bottom w:val="none" w:sz="0" w:space="0" w:color="auto"/>
            <w:right w:val="none" w:sz="0" w:space="0" w:color="auto"/>
          </w:divBdr>
        </w:div>
        <w:div w:id="10755878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ohchr.org/english/bodies/HRTD/NewYorkConsultation2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E204-80BD-4E3A-90AE-662E250E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7904</Words>
  <Characters>45054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CONSULTATION FOR STATES ON TREATY BODY STRENGTHENING</vt:lpstr>
    </vt:vector>
  </TitlesOfParts>
  <Company>OHCHR</Company>
  <LinksUpToDate>false</LinksUpToDate>
  <CharactersWithSpaces>52853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STATES ON TREATY BODY STRENGTHENING</dc:title>
  <dc:creator>Linda</dc:creator>
  <cp:lastModifiedBy>Natacha Foucard</cp:lastModifiedBy>
  <cp:revision>24</cp:revision>
  <dcterms:created xsi:type="dcterms:W3CDTF">2012-05-08T13:06:00Z</dcterms:created>
  <dcterms:modified xsi:type="dcterms:W3CDTF">2012-05-18T07:55:00Z</dcterms:modified>
</cp:coreProperties>
</file>